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4C3BC" w14:textId="0013E9CD" w:rsidR="00A15A53" w:rsidRPr="00E91F6E" w:rsidRDefault="008D3FF8" w:rsidP="00A15A53">
      <w:pPr>
        <w:pStyle w:val="Title"/>
        <w:widowControl/>
        <w:rPr>
          <w:sz w:val="44"/>
          <w:szCs w:val="44"/>
        </w:rPr>
      </w:pPr>
      <w:r w:rsidRPr="00E91F6E">
        <w:rPr>
          <w:sz w:val="44"/>
          <w:szCs w:val="44"/>
        </w:rPr>
        <w:t xml:space="preserve">County </w:t>
      </w:r>
      <w:r w:rsidR="00A15A53" w:rsidRPr="00E91F6E">
        <w:rPr>
          <w:sz w:val="44"/>
          <w:szCs w:val="44"/>
        </w:rPr>
        <w:t>Financial Statement</w:t>
      </w:r>
    </w:p>
    <w:p w14:paraId="3BF9B808" w14:textId="562E7F01" w:rsidR="00C33B91" w:rsidRPr="00E91F6E" w:rsidRDefault="00A15A53" w:rsidP="00A15A53">
      <w:pPr>
        <w:pStyle w:val="Title"/>
        <w:widowControl/>
        <w:rPr>
          <w:sz w:val="44"/>
          <w:szCs w:val="44"/>
        </w:rPr>
      </w:pPr>
      <w:r w:rsidRPr="00E91F6E">
        <w:rPr>
          <w:sz w:val="44"/>
          <w:szCs w:val="44"/>
        </w:rPr>
        <w:t xml:space="preserve">and </w:t>
      </w:r>
      <w:r w:rsidR="0030381A" w:rsidRPr="00E91F6E">
        <w:rPr>
          <w:sz w:val="44"/>
          <w:szCs w:val="44"/>
        </w:rPr>
        <w:t xml:space="preserve">Notes </w:t>
      </w:r>
      <w:r w:rsidR="00C33B91" w:rsidRPr="00E91F6E">
        <w:rPr>
          <w:sz w:val="44"/>
          <w:szCs w:val="44"/>
        </w:rPr>
        <w:t>Template</w:t>
      </w:r>
    </w:p>
    <w:p w14:paraId="4220379C" w14:textId="00CBC63B" w:rsidR="00C33B91" w:rsidRPr="00E91F6E" w:rsidRDefault="00C33B91" w:rsidP="006E0CE3">
      <w:pPr>
        <w:pStyle w:val="Title"/>
        <w:widowControl/>
        <w:jc w:val="both"/>
        <w:rPr>
          <w:b w:val="0"/>
        </w:rPr>
      </w:pPr>
    </w:p>
    <w:tbl>
      <w:tblPr>
        <w:tblStyle w:val="TableGrid"/>
        <w:tblW w:w="0" w:type="auto"/>
        <w:shd w:val="solid" w:color="auto" w:fill="auto"/>
        <w:tblLook w:val="04A0" w:firstRow="1" w:lastRow="0" w:firstColumn="1" w:lastColumn="0" w:noHBand="0" w:noVBand="1"/>
      </w:tblPr>
      <w:tblGrid>
        <w:gridCol w:w="9523"/>
      </w:tblGrid>
      <w:tr w:rsidR="00FD2381" w:rsidRPr="00E91F6E" w14:paraId="7C223A61" w14:textId="77777777" w:rsidTr="00FD2381">
        <w:tc>
          <w:tcPr>
            <w:tcW w:w="9523" w:type="dxa"/>
            <w:shd w:val="solid" w:color="auto" w:fill="auto"/>
          </w:tcPr>
          <w:p w14:paraId="0DF1464A" w14:textId="5C7CB75B" w:rsidR="00FD2381" w:rsidRPr="00E91F6E" w:rsidRDefault="00FD2381" w:rsidP="00FD2381">
            <w:pPr>
              <w:pStyle w:val="Title"/>
              <w:widowControl/>
              <w:spacing w:before="120" w:after="120"/>
              <w:rPr>
                <w:b w:val="0"/>
                <w:color w:val="FFFFFF" w:themeColor="background1"/>
              </w:rPr>
            </w:pPr>
            <w:bookmarkStart w:id="0" w:name="_Hlk520908312"/>
            <w:r w:rsidRPr="00E91F6E">
              <w:rPr>
                <w:color w:val="FFFFFF" w:themeColor="background1"/>
                <w:highlight w:val="black"/>
              </w:rPr>
              <w:t>The County’s responsibility in completing an annual financial statement and disclosures</w:t>
            </w:r>
          </w:p>
        </w:tc>
      </w:tr>
    </w:tbl>
    <w:bookmarkEnd w:id="0"/>
    <w:p w14:paraId="21C2239D" w14:textId="5E280711" w:rsidR="008932D7" w:rsidRPr="00E91F6E" w:rsidRDefault="008932D7" w:rsidP="00FD2381">
      <w:pPr>
        <w:pStyle w:val="Title"/>
        <w:widowControl/>
        <w:jc w:val="both"/>
        <w:rPr>
          <w:b w:val="0"/>
        </w:rPr>
      </w:pPr>
      <w:r w:rsidRPr="00E91F6E">
        <w:rPr>
          <w:b w:val="0"/>
        </w:rPr>
        <w:t xml:space="preserve">The County is required to present a financial statement for each fiscal year ended June 30 </w:t>
      </w:r>
      <w:r w:rsidR="009366B9" w:rsidRPr="00E91F6E">
        <w:rPr>
          <w:b w:val="0"/>
        </w:rPr>
        <w:t xml:space="preserve">on a </w:t>
      </w:r>
      <w:r w:rsidRPr="00E91F6E">
        <w:rPr>
          <w:b w:val="0"/>
        </w:rPr>
        <w:t xml:space="preserve">regulatory basis of accounting in accordance with </w:t>
      </w:r>
      <w:hyperlink r:id="rId8" w:history="1">
        <w:r w:rsidRPr="00E91F6E">
          <w:rPr>
            <w:rStyle w:val="Hyperlink"/>
            <w:b w:val="0"/>
          </w:rPr>
          <w:t>Title 19 O.S. § 171</w:t>
        </w:r>
      </w:hyperlink>
      <w:r w:rsidRPr="00E91F6E">
        <w:rPr>
          <w:b w:val="0"/>
        </w:rPr>
        <w:t xml:space="preserve"> (unless the County elects to prepare its financial statement in accordance with Generally Accepted Accounting Principles as prescribed by the Governmental Accounting Standards Board</w:t>
      </w:r>
      <w:r w:rsidR="000F7CF3" w:rsidRPr="00E91F6E">
        <w:rPr>
          <w:b w:val="0"/>
        </w:rPr>
        <w:t>).</w:t>
      </w:r>
    </w:p>
    <w:p w14:paraId="4DC1D6E0" w14:textId="77777777" w:rsidR="008932D7" w:rsidRPr="00E91F6E" w:rsidRDefault="008932D7" w:rsidP="00FD2381">
      <w:pPr>
        <w:pStyle w:val="Title"/>
        <w:widowControl/>
        <w:jc w:val="both"/>
        <w:rPr>
          <w:b w:val="0"/>
        </w:rPr>
      </w:pPr>
    </w:p>
    <w:p w14:paraId="494A0DD4" w14:textId="082BC8F1" w:rsidR="00181F43" w:rsidRPr="00E91F6E" w:rsidRDefault="006E0CE3" w:rsidP="00FD2381">
      <w:pPr>
        <w:pStyle w:val="Title"/>
        <w:widowControl/>
        <w:jc w:val="both"/>
        <w:rPr>
          <w:b w:val="0"/>
        </w:rPr>
      </w:pPr>
      <w:r w:rsidRPr="00E91F6E">
        <w:rPr>
          <w:b w:val="0"/>
        </w:rPr>
        <w:t xml:space="preserve">This template is designed to assist the County in preparing </w:t>
      </w:r>
      <w:r w:rsidR="008932D7" w:rsidRPr="00E91F6E">
        <w:rPr>
          <w:b w:val="0"/>
        </w:rPr>
        <w:t xml:space="preserve">a regulatory basis </w:t>
      </w:r>
      <w:r w:rsidRPr="00E91F6E">
        <w:rPr>
          <w:b w:val="0"/>
        </w:rPr>
        <w:t xml:space="preserve">financial statement and </w:t>
      </w:r>
      <w:r w:rsidR="00A15A53" w:rsidRPr="00E91F6E">
        <w:rPr>
          <w:b w:val="0"/>
        </w:rPr>
        <w:t xml:space="preserve">related </w:t>
      </w:r>
      <w:r w:rsidRPr="00E91F6E">
        <w:rPr>
          <w:b w:val="0"/>
        </w:rPr>
        <w:t>disclosures.  Preparation of the financial statement and disclosures are the responsibility of the County.  The State Auditor and Inspector’s Office may assist the County in preparing their financial statement and disclosures, providing such assistance does not impair the independence of the auditor</w:t>
      </w:r>
      <w:r w:rsidR="008932D7" w:rsidRPr="00E91F6E">
        <w:rPr>
          <w:b w:val="0"/>
        </w:rPr>
        <w:t>.</w:t>
      </w:r>
    </w:p>
    <w:p w14:paraId="01596764" w14:textId="5DE02345" w:rsidR="008932D7" w:rsidRPr="00E91F6E" w:rsidRDefault="008932D7" w:rsidP="00FD2381">
      <w:pPr>
        <w:pStyle w:val="Title"/>
        <w:widowControl/>
        <w:jc w:val="both"/>
        <w:rPr>
          <w:b w:val="0"/>
        </w:rPr>
      </w:pPr>
    </w:p>
    <w:p w14:paraId="7AB5F3E4" w14:textId="06464027" w:rsidR="008932D7" w:rsidRPr="00E91F6E" w:rsidRDefault="008932D7" w:rsidP="00FD2381">
      <w:pPr>
        <w:pStyle w:val="Title"/>
        <w:widowControl/>
        <w:jc w:val="both"/>
        <w:rPr>
          <w:b w:val="0"/>
        </w:rPr>
      </w:pPr>
      <w:r w:rsidRPr="00E91F6E">
        <w:rPr>
          <w:b w:val="0"/>
        </w:rPr>
        <w:t xml:space="preserve">The limitations of the auditor are described in the American Institute of Certified Public Accountants </w:t>
      </w:r>
      <w:hyperlink r:id="rId9" w:history="1">
        <w:r w:rsidRPr="00E91F6E">
          <w:rPr>
            <w:rStyle w:val="Hyperlink"/>
            <w:b w:val="0"/>
            <w:lang w:val="en"/>
          </w:rPr>
          <w:t xml:space="preserve">Clarified Statements on Auditing Standards </w:t>
        </w:r>
        <w:r w:rsidRPr="00E91F6E">
          <w:rPr>
            <w:rStyle w:val="Hyperlink"/>
            <w:b w:val="0"/>
          </w:rPr>
          <w:t>AU-C § 210</w:t>
        </w:r>
      </w:hyperlink>
      <w:r w:rsidRPr="00E91F6E">
        <w:rPr>
          <w:b w:val="0"/>
        </w:rPr>
        <w:t>, which reads in part:</w:t>
      </w:r>
    </w:p>
    <w:p w14:paraId="36E2FAD3" w14:textId="18D2ED07" w:rsidR="00E13702" w:rsidRPr="00E91F6E" w:rsidRDefault="00E13702" w:rsidP="00FD2381">
      <w:pPr>
        <w:pStyle w:val="Title"/>
        <w:widowControl/>
        <w:jc w:val="both"/>
        <w:rPr>
          <w:b w:val="0"/>
        </w:rPr>
      </w:pPr>
    </w:p>
    <w:p w14:paraId="07600594" w14:textId="2B8F70C8" w:rsidR="00B95CC1" w:rsidRPr="00E91F6E" w:rsidRDefault="00F774E0" w:rsidP="00FD2381">
      <w:pPr>
        <w:pStyle w:val="Title"/>
        <w:ind w:left="720" w:right="713"/>
        <w:jc w:val="both"/>
        <w:rPr>
          <w:b w:val="0"/>
        </w:rPr>
      </w:pPr>
      <w:r w:rsidRPr="00E91F6E">
        <w:rPr>
          <w:b w:val="0"/>
        </w:rPr>
        <w:t>“</w:t>
      </w:r>
      <w:r w:rsidR="00B95CC1" w:rsidRPr="00E91F6E">
        <w:rPr>
          <w:b w:val="0"/>
        </w:rPr>
        <w:t>The auditor may assist in preparing the financial</w:t>
      </w:r>
      <w:r w:rsidR="0019162E" w:rsidRPr="00E91F6E">
        <w:rPr>
          <w:b w:val="0"/>
        </w:rPr>
        <w:t xml:space="preserve"> </w:t>
      </w:r>
      <w:r w:rsidR="00B95CC1" w:rsidRPr="00E91F6E">
        <w:rPr>
          <w:b w:val="0"/>
        </w:rPr>
        <w:t>statements, in whole or in part, based on information provided to the auditor</w:t>
      </w:r>
      <w:r w:rsidR="0019162E" w:rsidRPr="00E91F6E">
        <w:rPr>
          <w:b w:val="0"/>
        </w:rPr>
        <w:t xml:space="preserve"> </w:t>
      </w:r>
      <w:r w:rsidR="00B95CC1" w:rsidRPr="00E91F6E">
        <w:rPr>
          <w:b w:val="0"/>
        </w:rPr>
        <w:t>by management during the performance of the audit.</w:t>
      </w:r>
      <w:r w:rsidR="00C746A6" w:rsidRPr="00E91F6E">
        <w:rPr>
          <w:b w:val="0"/>
        </w:rPr>
        <w:t xml:space="preserve">  </w:t>
      </w:r>
      <w:r w:rsidR="00B95CC1" w:rsidRPr="00E91F6E">
        <w:rPr>
          <w:b w:val="0"/>
        </w:rPr>
        <w:t xml:space="preserve">However, </w:t>
      </w:r>
      <w:r w:rsidR="00B95CC1" w:rsidRPr="00E91F6E">
        <w:t>the concept</w:t>
      </w:r>
      <w:r w:rsidR="0019162E" w:rsidRPr="00E91F6E">
        <w:t xml:space="preserve"> </w:t>
      </w:r>
      <w:r w:rsidR="00B95CC1" w:rsidRPr="00E91F6E">
        <w:t>of an independent audit requires that the auditor's role does not involve assuming</w:t>
      </w:r>
      <w:r w:rsidR="0019162E" w:rsidRPr="00E91F6E">
        <w:t xml:space="preserve"> </w:t>
      </w:r>
      <w:r w:rsidR="00B95CC1" w:rsidRPr="00E91F6E">
        <w:t>management's responsibility for the preparation and fair presentation</w:t>
      </w:r>
      <w:r w:rsidR="0019162E" w:rsidRPr="00E91F6E">
        <w:t xml:space="preserve"> </w:t>
      </w:r>
      <w:r w:rsidR="00B95CC1" w:rsidRPr="00E91F6E">
        <w:t>of the financial statements</w:t>
      </w:r>
      <w:r w:rsidR="00B95CC1" w:rsidRPr="00E91F6E">
        <w:rPr>
          <w:b w:val="0"/>
        </w:rPr>
        <w:t xml:space="preserve"> or assuming responsibility for the entity's related</w:t>
      </w:r>
      <w:r w:rsidR="0019162E" w:rsidRPr="00E91F6E">
        <w:rPr>
          <w:b w:val="0"/>
        </w:rPr>
        <w:t xml:space="preserve"> </w:t>
      </w:r>
      <w:r w:rsidR="00B95CC1" w:rsidRPr="00E91F6E">
        <w:rPr>
          <w:b w:val="0"/>
        </w:rPr>
        <w:t>internal control and that the auditor has a reasonable expectation of obtaining</w:t>
      </w:r>
      <w:r w:rsidR="0019162E" w:rsidRPr="00E91F6E">
        <w:rPr>
          <w:b w:val="0"/>
        </w:rPr>
        <w:t xml:space="preserve"> </w:t>
      </w:r>
      <w:r w:rsidR="00B95CC1" w:rsidRPr="00E91F6E">
        <w:rPr>
          <w:b w:val="0"/>
        </w:rPr>
        <w:t>the information necessary for the audit insofar as management is able to</w:t>
      </w:r>
      <w:r w:rsidR="0019162E" w:rsidRPr="00E91F6E">
        <w:rPr>
          <w:b w:val="0"/>
        </w:rPr>
        <w:t xml:space="preserve"> </w:t>
      </w:r>
      <w:r w:rsidR="00B95CC1" w:rsidRPr="00E91F6E">
        <w:rPr>
          <w:b w:val="0"/>
        </w:rPr>
        <w:t>provide or procure it.</w:t>
      </w:r>
      <w:r w:rsidR="00C746A6" w:rsidRPr="00E91F6E">
        <w:rPr>
          <w:b w:val="0"/>
        </w:rPr>
        <w:t xml:space="preserve"> </w:t>
      </w:r>
      <w:r w:rsidR="00B95CC1" w:rsidRPr="00E91F6E">
        <w:rPr>
          <w:b w:val="0"/>
        </w:rPr>
        <w:t xml:space="preserve"> Accordingly, the premise is fundamental to the conduct of</w:t>
      </w:r>
      <w:r w:rsidR="0019162E" w:rsidRPr="00E91F6E">
        <w:rPr>
          <w:b w:val="0"/>
        </w:rPr>
        <w:t xml:space="preserve"> </w:t>
      </w:r>
      <w:r w:rsidR="00B95CC1" w:rsidRPr="00E91F6E">
        <w:rPr>
          <w:b w:val="0"/>
        </w:rPr>
        <w:t xml:space="preserve">an independent audit. </w:t>
      </w:r>
      <w:r w:rsidR="00C746A6" w:rsidRPr="00E91F6E">
        <w:rPr>
          <w:b w:val="0"/>
        </w:rPr>
        <w:t xml:space="preserve"> </w:t>
      </w:r>
      <w:r w:rsidR="00B95CC1" w:rsidRPr="00E91F6E">
        <w:rPr>
          <w:b w:val="0"/>
        </w:rPr>
        <w:t>To avoid misunderstanding, agreement is reached with</w:t>
      </w:r>
      <w:r w:rsidR="00C746A6" w:rsidRPr="00E91F6E">
        <w:rPr>
          <w:b w:val="0"/>
        </w:rPr>
        <w:t xml:space="preserve"> </w:t>
      </w:r>
      <w:r w:rsidR="00B95CC1" w:rsidRPr="00E91F6E">
        <w:rPr>
          <w:b w:val="0"/>
        </w:rPr>
        <w:t>management that it acknowledges and understands that it has such responsibilities</w:t>
      </w:r>
      <w:r w:rsidR="00C746A6" w:rsidRPr="00E91F6E">
        <w:rPr>
          <w:b w:val="0"/>
        </w:rPr>
        <w:t xml:space="preserve"> </w:t>
      </w:r>
      <w:r w:rsidR="00B95CC1" w:rsidRPr="00E91F6E">
        <w:rPr>
          <w:b w:val="0"/>
        </w:rPr>
        <w:t>as part of agreeing and documenting the terms of the audit engagement</w:t>
      </w:r>
      <w:r w:rsidR="00C746A6" w:rsidRPr="00E91F6E">
        <w:rPr>
          <w:b w:val="0"/>
        </w:rPr>
        <w:t>.</w:t>
      </w:r>
      <w:r w:rsidRPr="00E91F6E">
        <w:rPr>
          <w:b w:val="0"/>
        </w:rPr>
        <w:t>”</w:t>
      </w:r>
    </w:p>
    <w:p w14:paraId="2DB30E58" w14:textId="572758A1" w:rsidR="00C746A6" w:rsidRPr="00E91F6E" w:rsidRDefault="00C746A6" w:rsidP="00FD2381">
      <w:pPr>
        <w:pStyle w:val="Title"/>
        <w:jc w:val="both"/>
        <w:rPr>
          <w:b w:val="0"/>
        </w:rPr>
      </w:pPr>
    </w:p>
    <w:tbl>
      <w:tblPr>
        <w:tblStyle w:val="TableGrid"/>
        <w:tblW w:w="0" w:type="auto"/>
        <w:shd w:val="solid" w:color="auto" w:fill="auto"/>
        <w:tblLook w:val="04A0" w:firstRow="1" w:lastRow="0" w:firstColumn="1" w:lastColumn="0" w:noHBand="0" w:noVBand="1"/>
      </w:tblPr>
      <w:tblGrid>
        <w:gridCol w:w="9523"/>
      </w:tblGrid>
      <w:tr w:rsidR="00FD2381" w:rsidRPr="00E91F6E" w14:paraId="215AA127" w14:textId="77777777" w:rsidTr="005E1143">
        <w:tc>
          <w:tcPr>
            <w:tcW w:w="9523" w:type="dxa"/>
            <w:shd w:val="solid" w:color="auto" w:fill="auto"/>
          </w:tcPr>
          <w:p w14:paraId="3BB81DC3" w14:textId="2FBF14CD" w:rsidR="00FD2381" w:rsidRPr="00E91F6E" w:rsidRDefault="00FD2381" w:rsidP="005E1143">
            <w:pPr>
              <w:pStyle w:val="Title"/>
              <w:widowControl/>
              <w:spacing w:before="120" w:after="120"/>
              <w:rPr>
                <w:b w:val="0"/>
                <w:color w:val="FFFFFF" w:themeColor="background1"/>
              </w:rPr>
            </w:pPr>
            <w:r w:rsidRPr="00E91F6E">
              <w:rPr>
                <w:color w:val="FFFFFF" w:themeColor="background1"/>
                <w:highlight w:val="black"/>
              </w:rPr>
              <w:t>Instructions for completing this template</w:t>
            </w:r>
          </w:p>
        </w:tc>
      </w:tr>
    </w:tbl>
    <w:p w14:paraId="0371BFC9" w14:textId="05644F9D" w:rsidR="00181F43" w:rsidRPr="00E91F6E" w:rsidRDefault="00C746A6" w:rsidP="00FD2381">
      <w:pPr>
        <w:pStyle w:val="Title"/>
        <w:widowControl/>
        <w:jc w:val="both"/>
        <w:rPr>
          <w:b w:val="0"/>
        </w:rPr>
      </w:pPr>
      <w:r w:rsidRPr="00E91F6E">
        <w:rPr>
          <w:b w:val="0"/>
        </w:rPr>
        <w:t>Detailed instructions are provided in the following pages for each section of the template.  Text that is not highlighted in the following pages indicate standard disclosures that do not require any modifications, unless directed otherwise by the related instructions on that page.</w:t>
      </w:r>
    </w:p>
    <w:p w14:paraId="744EDAED" w14:textId="1031AC56" w:rsidR="00C746A6" w:rsidRPr="00E91F6E" w:rsidRDefault="00C746A6" w:rsidP="00FD2381">
      <w:pPr>
        <w:pStyle w:val="Title"/>
        <w:widowControl/>
        <w:jc w:val="both"/>
        <w:rPr>
          <w:b w:val="0"/>
        </w:rPr>
      </w:pPr>
    </w:p>
    <w:p w14:paraId="5CAD2AFE" w14:textId="1911EDA9" w:rsidR="00C746A6" w:rsidRPr="00E91F6E" w:rsidRDefault="00C746A6" w:rsidP="00FD2381">
      <w:pPr>
        <w:pStyle w:val="Title"/>
        <w:widowControl/>
        <w:jc w:val="both"/>
        <w:rPr>
          <w:b w:val="0"/>
        </w:rPr>
      </w:pPr>
      <w:r w:rsidRPr="00E91F6E">
        <w:rPr>
          <w:b w:val="0"/>
          <w:highlight w:val="yellow"/>
        </w:rPr>
        <w:t>Text highlighted in yellow</w:t>
      </w:r>
      <w:r w:rsidRPr="00E91F6E">
        <w:rPr>
          <w:b w:val="0"/>
        </w:rPr>
        <w:t xml:space="preserve"> indicates information that should be completed by the County</w:t>
      </w:r>
      <w:r w:rsidR="00280A5F">
        <w:rPr>
          <w:b w:val="0"/>
        </w:rPr>
        <w:t xml:space="preserve">, verified for accuracy, and </w:t>
      </w:r>
      <w:r w:rsidRPr="00E91F6E">
        <w:rPr>
          <w:b w:val="0"/>
        </w:rPr>
        <w:t>removed</w:t>
      </w:r>
      <w:r w:rsidR="00280A5F">
        <w:rPr>
          <w:b w:val="0"/>
        </w:rPr>
        <w:t xml:space="preserve"> if inapplicable</w:t>
      </w:r>
      <w:r w:rsidRPr="00E91F6E">
        <w:rPr>
          <w:b w:val="0"/>
        </w:rPr>
        <w:t>.</w:t>
      </w:r>
    </w:p>
    <w:p w14:paraId="1782E4E8" w14:textId="13946217" w:rsidR="00C746A6" w:rsidRPr="00E91F6E" w:rsidRDefault="00C746A6" w:rsidP="00FD2381">
      <w:pPr>
        <w:pStyle w:val="Title"/>
        <w:widowControl/>
        <w:jc w:val="both"/>
        <w:rPr>
          <w:b w:val="0"/>
        </w:rPr>
      </w:pPr>
    </w:p>
    <w:p w14:paraId="3E83BC9C" w14:textId="5C4D626F" w:rsidR="00C746A6" w:rsidRPr="00E91F6E" w:rsidRDefault="00C746A6" w:rsidP="00FD2381">
      <w:pPr>
        <w:pStyle w:val="Title"/>
        <w:widowControl/>
        <w:jc w:val="both"/>
        <w:rPr>
          <w:b w:val="0"/>
        </w:rPr>
      </w:pPr>
      <w:r w:rsidRPr="00E91F6E">
        <w:rPr>
          <w:b w:val="0"/>
          <w:highlight w:val="green"/>
        </w:rPr>
        <w:t>Text highlighted in green</w:t>
      </w:r>
      <w:r w:rsidRPr="00E91F6E">
        <w:rPr>
          <w:b w:val="0"/>
        </w:rPr>
        <w:t xml:space="preserve"> indicates detailed instructions for the related section or page.</w:t>
      </w:r>
    </w:p>
    <w:p w14:paraId="7777E5B7" w14:textId="4DB49152" w:rsidR="00C746A6" w:rsidRPr="00E91F6E" w:rsidRDefault="00C746A6" w:rsidP="00FD2381">
      <w:pPr>
        <w:pStyle w:val="Title"/>
        <w:widowControl/>
        <w:jc w:val="both"/>
        <w:rPr>
          <w:b w:val="0"/>
        </w:rPr>
      </w:pPr>
    </w:p>
    <w:p w14:paraId="03F5C315" w14:textId="6734A104" w:rsidR="00C746A6" w:rsidRPr="00E91F6E" w:rsidRDefault="00C746A6" w:rsidP="00FD2381">
      <w:pPr>
        <w:pStyle w:val="Title"/>
        <w:widowControl/>
        <w:jc w:val="both"/>
        <w:rPr>
          <w:b w:val="0"/>
        </w:rPr>
      </w:pPr>
      <w:r w:rsidRPr="00E91F6E">
        <w:t>All highlight</w:t>
      </w:r>
      <w:r w:rsidR="008876B0" w:rsidRPr="00E91F6E">
        <w:t>ed text should be addressed/removed,</w:t>
      </w:r>
      <w:r w:rsidRPr="00E91F6E">
        <w:t xml:space="preserve"> </w:t>
      </w:r>
      <w:r w:rsidR="008876B0" w:rsidRPr="00E91F6E">
        <w:t xml:space="preserve">and the final draft should be approved by the BOCC </w:t>
      </w:r>
      <w:r w:rsidRPr="00E91F6E">
        <w:t>before submitting t</w:t>
      </w:r>
      <w:r w:rsidR="005D23FB" w:rsidRPr="00E91F6E">
        <w:t xml:space="preserve">he </w:t>
      </w:r>
      <w:r w:rsidR="008876B0" w:rsidRPr="00E91F6E">
        <w:t xml:space="preserve">completed template </w:t>
      </w:r>
      <w:r w:rsidR="00534483" w:rsidRPr="00E91F6E">
        <w:t>to</w:t>
      </w:r>
      <w:r w:rsidR="005D23FB" w:rsidRPr="00E91F6E">
        <w:t xml:space="preserve"> your audit manager at </w:t>
      </w:r>
      <w:r w:rsidRPr="00E91F6E">
        <w:t>the Office of the State Auditor and Inspector.</w:t>
      </w:r>
      <w:r w:rsidR="005D23FB" w:rsidRPr="00E91F6E">
        <w:rPr>
          <w:b w:val="0"/>
        </w:rPr>
        <w:t xml:space="preserve">  </w:t>
      </w:r>
      <w:r w:rsidR="00A15A53" w:rsidRPr="00E91F6E">
        <w:rPr>
          <w:b w:val="0"/>
        </w:rPr>
        <w:t>Technical questions on completion of this template may be addressed to</w:t>
      </w:r>
      <w:r w:rsidR="0085751F" w:rsidRPr="00E91F6E">
        <w:rPr>
          <w:b w:val="0"/>
        </w:rPr>
        <w:t xml:space="preserve"> </w:t>
      </w:r>
      <w:r w:rsidR="005D23FB" w:rsidRPr="00E91F6E">
        <w:rPr>
          <w:b w:val="0"/>
        </w:rPr>
        <w:t xml:space="preserve">your audit manager or </w:t>
      </w:r>
      <w:r w:rsidR="0085751F" w:rsidRPr="00E91F6E">
        <w:rPr>
          <w:b w:val="0"/>
        </w:rPr>
        <w:t>the Management Service Division at (405) 521-3495</w:t>
      </w:r>
      <w:r w:rsidR="00534483" w:rsidRPr="00E91F6E">
        <w:rPr>
          <w:b w:val="0"/>
        </w:rPr>
        <w:t>.</w:t>
      </w:r>
    </w:p>
    <w:p w14:paraId="6911FDA1" w14:textId="723BE7E5" w:rsidR="0022098E" w:rsidRPr="00E91F6E" w:rsidRDefault="0022098E" w:rsidP="00FD2381">
      <w:pPr>
        <w:pStyle w:val="Title"/>
        <w:widowControl/>
        <w:jc w:val="both"/>
        <w:rPr>
          <w:b w:val="0"/>
        </w:rPr>
      </w:pPr>
    </w:p>
    <w:p w14:paraId="7F3C374C" w14:textId="4AD057EB" w:rsidR="0022098E" w:rsidRPr="00E91F6E" w:rsidRDefault="0022098E" w:rsidP="00FD2381">
      <w:pPr>
        <w:pStyle w:val="Title"/>
        <w:widowControl/>
        <w:jc w:val="both"/>
        <w:rPr>
          <w:b w:val="0"/>
        </w:rPr>
      </w:pPr>
      <w:r w:rsidRPr="00E91F6E">
        <w:rPr>
          <w:b w:val="0"/>
        </w:rPr>
        <w:t>Instructions for submitting the template once it has been completed are on the last page.</w:t>
      </w:r>
    </w:p>
    <w:p w14:paraId="35C9FB42" w14:textId="77777777" w:rsidR="00A15A53" w:rsidRPr="00E91F6E" w:rsidRDefault="00A15A53" w:rsidP="006E0CE3">
      <w:pPr>
        <w:pStyle w:val="Title"/>
        <w:widowControl/>
        <w:jc w:val="both"/>
        <w:rPr>
          <w:b w:val="0"/>
        </w:rPr>
      </w:pPr>
    </w:p>
    <w:p w14:paraId="64BDAF30" w14:textId="20B8E6F9" w:rsidR="002C2DE9" w:rsidRPr="00E91F6E" w:rsidRDefault="002C2DE9" w:rsidP="006E0CE3">
      <w:pPr>
        <w:pStyle w:val="Title"/>
        <w:widowControl/>
        <w:jc w:val="both"/>
        <w:sectPr w:rsidR="002C2DE9" w:rsidRPr="00E91F6E" w:rsidSect="00FD2381">
          <w:footerReference w:type="default" r:id="rId10"/>
          <w:footerReference w:type="first" r:id="rId11"/>
          <w:footnotePr>
            <w:numRestart w:val="eachPage"/>
          </w:footnotePr>
          <w:endnotePr>
            <w:numFmt w:val="decimal"/>
          </w:endnotePr>
          <w:pgSz w:w="12240" w:h="15840" w:code="1"/>
          <w:pgMar w:top="1440" w:right="1267" w:bottom="1440" w:left="1440" w:header="1440" w:footer="1440" w:gutter="0"/>
          <w:cols w:space="720"/>
        </w:sectPr>
      </w:pPr>
    </w:p>
    <w:p w14:paraId="77238727" w14:textId="1DA868E6" w:rsidR="00553042" w:rsidRPr="00E91F6E" w:rsidRDefault="00E16741" w:rsidP="000D3BEC">
      <w:pPr>
        <w:pStyle w:val="Title"/>
        <w:widowControl/>
      </w:pPr>
      <w:r w:rsidRPr="00E91F6E">
        <w:rPr>
          <w:highlight w:val="yellow"/>
        </w:rPr>
        <w:lastRenderedPageBreak/>
        <w:t>___________________</w:t>
      </w:r>
      <w:r w:rsidR="00553042" w:rsidRPr="00E91F6E">
        <w:t xml:space="preserve"> COUNTY, OKLAHOMA</w:t>
      </w:r>
    </w:p>
    <w:p w14:paraId="2904DF7A" w14:textId="77777777" w:rsidR="00553042" w:rsidRPr="00E91F6E" w:rsidRDefault="00553042" w:rsidP="000D3BEC">
      <w:pPr>
        <w:widowControl/>
        <w:jc w:val="center"/>
        <w:rPr>
          <w:b/>
          <w:bCs/>
          <w:sz w:val="22"/>
          <w:szCs w:val="22"/>
        </w:rPr>
      </w:pPr>
      <w:r w:rsidRPr="00E91F6E">
        <w:rPr>
          <w:b/>
          <w:bCs/>
          <w:sz w:val="22"/>
          <w:szCs w:val="22"/>
        </w:rPr>
        <w:t>FINANCIAL STATEMENT</w:t>
      </w:r>
    </w:p>
    <w:p w14:paraId="3F1E9305" w14:textId="77777777" w:rsidR="00553042" w:rsidRPr="00E91F6E" w:rsidRDefault="00553042" w:rsidP="000D3BEC">
      <w:pPr>
        <w:widowControl/>
        <w:jc w:val="center"/>
        <w:sectPr w:rsidR="00553042" w:rsidRPr="00E91F6E" w:rsidSect="00FD2381">
          <w:footnotePr>
            <w:numRestart w:val="eachPage"/>
          </w:footnotePr>
          <w:endnotePr>
            <w:numFmt w:val="decimal"/>
          </w:endnotePr>
          <w:pgSz w:w="12240" w:h="15840" w:code="1"/>
          <w:pgMar w:top="1440" w:right="1260" w:bottom="1440" w:left="1440" w:header="1440" w:footer="1440" w:gutter="0"/>
          <w:cols w:space="720"/>
          <w:vAlign w:val="center"/>
        </w:sectPr>
      </w:pPr>
      <w:r w:rsidRPr="00E91F6E">
        <w:rPr>
          <w:b/>
          <w:bCs/>
          <w:sz w:val="22"/>
          <w:szCs w:val="22"/>
        </w:rPr>
        <w:t xml:space="preserve">FOR THE FISCAL YEAR ENDED JUNE 30, </w:t>
      </w:r>
      <w:r w:rsidR="001B455D" w:rsidRPr="00E91F6E">
        <w:rPr>
          <w:b/>
          <w:highlight w:val="yellow"/>
        </w:rPr>
        <w:t>____</w:t>
      </w:r>
    </w:p>
    <w:p w14:paraId="12FB03CE" w14:textId="77777777" w:rsidR="00497F58" w:rsidRPr="00E91F6E" w:rsidRDefault="00497F58" w:rsidP="00497F58">
      <w:pPr>
        <w:pStyle w:val="Heading1"/>
        <w:widowControl/>
        <w:rPr>
          <w:b/>
          <w:bCs/>
          <w:sz w:val="22"/>
        </w:rPr>
      </w:pPr>
      <w:r w:rsidRPr="00E91F6E">
        <w:rPr>
          <w:b/>
          <w:bCs/>
          <w:sz w:val="22"/>
        </w:rPr>
        <w:lastRenderedPageBreak/>
        <w:t>TABLE OF CONTENTS</w:t>
      </w:r>
    </w:p>
    <w:p w14:paraId="42CDB946" w14:textId="77777777" w:rsidR="00497F58" w:rsidRPr="00E91F6E" w:rsidRDefault="00497F58" w:rsidP="00497F58">
      <w:pPr>
        <w:widowControl/>
      </w:pPr>
    </w:p>
    <w:p w14:paraId="69497830" w14:textId="77777777" w:rsidR="00497F58" w:rsidRPr="00E91F6E" w:rsidRDefault="00497F58" w:rsidP="00497F58">
      <w:pPr>
        <w:widowControl/>
        <w:tabs>
          <w:tab w:val="left" w:pos="720"/>
          <w:tab w:val="right" w:pos="9360"/>
        </w:tabs>
        <w:rPr>
          <w:sz w:val="22"/>
          <w:szCs w:val="22"/>
        </w:rPr>
      </w:pPr>
    </w:p>
    <w:p w14:paraId="784072BC" w14:textId="45288171" w:rsidR="00D21041" w:rsidRPr="00E91F6E" w:rsidRDefault="00D21041" w:rsidP="00D21041">
      <w:pPr>
        <w:widowControl/>
        <w:tabs>
          <w:tab w:val="decimal" w:leader="dot" w:pos="9360"/>
        </w:tabs>
        <w:ind w:left="360"/>
        <w:rPr>
          <w:sz w:val="22"/>
          <w:szCs w:val="22"/>
        </w:rPr>
      </w:pPr>
    </w:p>
    <w:p w14:paraId="159203B1" w14:textId="167049DF" w:rsidR="00534483" w:rsidRPr="00E91F6E" w:rsidRDefault="00534483" w:rsidP="00534483">
      <w:pPr>
        <w:widowControl/>
        <w:tabs>
          <w:tab w:val="decimal" w:leader="dot" w:pos="9360"/>
        </w:tabs>
        <w:ind w:left="360"/>
        <w:rPr>
          <w:sz w:val="22"/>
          <w:szCs w:val="22"/>
        </w:rPr>
      </w:pPr>
      <w:r w:rsidRPr="00E91F6E">
        <w:rPr>
          <w:sz w:val="22"/>
          <w:szCs w:val="22"/>
        </w:rPr>
        <w:t>Detailed instructions for completion of the financial statement</w:t>
      </w:r>
      <w:r w:rsidRPr="00E91F6E">
        <w:rPr>
          <w:sz w:val="22"/>
          <w:szCs w:val="22"/>
        </w:rPr>
        <w:tab/>
        <w:t>4</w:t>
      </w:r>
    </w:p>
    <w:p w14:paraId="3D7B7387" w14:textId="77777777" w:rsidR="00534483" w:rsidRPr="00E91F6E" w:rsidRDefault="00534483" w:rsidP="00D21041">
      <w:pPr>
        <w:widowControl/>
        <w:tabs>
          <w:tab w:val="decimal" w:leader="dot" w:pos="9360"/>
        </w:tabs>
        <w:ind w:left="360"/>
        <w:rPr>
          <w:sz w:val="22"/>
          <w:szCs w:val="22"/>
        </w:rPr>
      </w:pPr>
    </w:p>
    <w:p w14:paraId="2104ADF9" w14:textId="2EE1DB05" w:rsidR="00D21041" w:rsidRPr="00E91F6E" w:rsidRDefault="00D21041" w:rsidP="00F75B2A">
      <w:pPr>
        <w:widowControl/>
        <w:tabs>
          <w:tab w:val="decimal" w:leader="dot" w:pos="9360"/>
        </w:tabs>
        <w:ind w:left="360"/>
        <w:rPr>
          <w:sz w:val="22"/>
          <w:szCs w:val="22"/>
        </w:rPr>
      </w:pPr>
      <w:r w:rsidRPr="00E91F6E">
        <w:rPr>
          <w:sz w:val="22"/>
          <w:szCs w:val="22"/>
        </w:rPr>
        <w:t>Statement of Receipts, Disbursements, and Changes in Cash Balances—Regulatory Basis</w:t>
      </w:r>
      <w:r w:rsidRPr="00E91F6E">
        <w:rPr>
          <w:sz w:val="22"/>
          <w:szCs w:val="22"/>
        </w:rPr>
        <w:tab/>
      </w:r>
      <w:r w:rsidR="00534483" w:rsidRPr="00E91F6E">
        <w:rPr>
          <w:sz w:val="22"/>
          <w:szCs w:val="22"/>
        </w:rPr>
        <w:t>7</w:t>
      </w:r>
    </w:p>
    <w:p w14:paraId="4B92EA58" w14:textId="77777777" w:rsidR="00D21041" w:rsidRPr="00E91F6E" w:rsidRDefault="00D21041" w:rsidP="00D21041">
      <w:pPr>
        <w:widowControl/>
        <w:rPr>
          <w:sz w:val="22"/>
          <w:szCs w:val="22"/>
        </w:rPr>
      </w:pPr>
      <w:r w:rsidRPr="00E91F6E">
        <w:rPr>
          <w:sz w:val="22"/>
          <w:szCs w:val="22"/>
        </w:rPr>
        <w:tab/>
      </w:r>
    </w:p>
    <w:p w14:paraId="520DFD03" w14:textId="10C026E9" w:rsidR="00D21041" w:rsidRPr="00E91F6E" w:rsidRDefault="00D21041" w:rsidP="00F75B2A">
      <w:pPr>
        <w:widowControl/>
        <w:tabs>
          <w:tab w:val="decimal" w:leader="dot" w:pos="9360"/>
        </w:tabs>
        <w:ind w:left="360"/>
        <w:rPr>
          <w:sz w:val="22"/>
          <w:szCs w:val="22"/>
        </w:rPr>
        <w:sectPr w:rsidR="00D21041" w:rsidRPr="00E91F6E" w:rsidSect="00FD2381">
          <w:headerReference w:type="even" r:id="rId12"/>
          <w:headerReference w:type="default" r:id="rId13"/>
          <w:footerReference w:type="default" r:id="rId14"/>
          <w:headerReference w:type="first" r:id="rId15"/>
          <w:footnotePr>
            <w:numRestart w:val="eachPage"/>
          </w:footnotePr>
          <w:endnotePr>
            <w:numFmt w:val="decimal"/>
          </w:endnotePr>
          <w:pgSz w:w="12240" w:h="15840"/>
          <w:pgMar w:top="1440" w:right="1440" w:bottom="1440" w:left="1440" w:header="1440" w:footer="1440" w:gutter="0"/>
          <w:pgNumType w:fmt="lowerRoman" w:start="1"/>
          <w:cols w:space="720"/>
        </w:sectPr>
      </w:pPr>
      <w:r w:rsidRPr="00E91F6E">
        <w:rPr>
          <w:sz w:val="22"/>
          <w:szCs w:val="22"/>
        </w:rPr>
        <w:t>Notes to the Financial Statement</w:t>
      </w:r>
      <w:r w:rsidRPr="00E91F6E">
        <w:rPr>
          <w:sz w:val="22"/>
          <w:szCs w:val="22"/>
        </w:rPr>
        <w:tab/>
      </w:r>
      <w:r w:rsidR="00534483" w:rsidRPr="00E91F6E">
        <w:rPr>
          <w:sz w:val="22"/>
          <w:szCs w:val="22"/>
        </w:rPr>
        <w:t>8</w:t>
      </w:r>
    </w:p>
    <w:p w14:paraId="72931B8B" w14:textId="77777777" w:rsidR="009E1FEB" w:rsidRPr="00E91F6E" w:rsidRDefault="002E24BF" w:rsidP="000D3BEC">
      <w:pPr>
        <w:pStyle w:val="Footer"/>
        <w:widowControl/>
        <w:tabs>
          <w:tab w:val="clear" w:pos="4320"/>
          <w:tab w:val="clear" w:pos="8640"/>
        </w:tabs>
        <w:jc w:val="center"/>
        <w:rPr>
          <w:b/>
          <w:sz w:val="22"/>
          <w:szCs w:val="22"/>
        </w:rPr>
        <w:sectPr w:rsidR="009E1FEB" w:rsidRPr="00E91F6E" w:rsidSect="00FD2381">
          <w:headerReference w:type="even" r:id="rId16"/>
          <w:headerReference w:type="default" r:id="rId17"/>
          <w:footerReference w:type="default" r:id="rId18"/>
          <w:headerReference w:type="first" r:id="rId19"/>
          <w:footnotePr>
            <w:numRestart w:val="eachPage"/>
          </w:footnotePr>
          <w:endnotePr>
            <w:numFmt w:val="decimal"/>
          </w:endnotePr>
          <w:pgSz w:w="12240" w:h="15840" w:code="1"/>
          <w:pgMar w:top="1440" w:right="1440" w:bottom="1440" w:left="1440" w:header="1440" w:footer="1440" w:gutter="0"/>
          <w:cols w:space="720"/>
          <w:vAlign w:val="center"/>
        </w:sectPr>
      </w:pPr>
      <w:r w:rsidRPr="00E91F6E">
        <w:rPr>
          <w:b/>
          <w:sz w:val="22"/>
          <w:szCs w:val="22"/>
        </w:rPr>
        <w:lastRenderedPageBreak/>
        <w:t>REGULATORY BASIS FINANCIAL STATEMENT</w:t>
      </w:r>
    </w:p>
    <w:tbl>
      <w:tblPr>
        <w:tblStyle w:val="TableGrid"/>
        <w:tblW w:w="0" w:type="auto"/>
        <w:shd w:val="solid" w:color="auto" w:fill="auto"/>
        <w:tblLook w:val="04A0" w:firstRow="1" w:lastRow="0" w:firstColumn="1" w:lastColumn="0" w:noHBand="0" w:noVBand="1"/>
      </w:tblPr>
      <w:tblGrid>
        <w:gridCol w:w="9350"/>
      </w:tblGrid>
      <w:tr w:rsidR="00534483" w:rsidRPr="00E91F6E" w14:paraId="38B92F3F" w14:textId="77777777" w:rsidTr="005E1143">
        <w:tc>
          <w:tcPr>
            <w:tcW w:w="9523" w:type="dxa"/>
            <w:shd w:val="solid" w:color="auto" w:fill="auto"/>
          </w:tcPr>
          <w:p w14:paraId="07C55777" w14:textId="20DB99E4" w:rsidR="00534483" w:rsidRPr="00E91F6E" w:rsidRDefault="00534483" w:rsidP="005E1143">
            <w:pPr>
              <w:pStyle w:val="Title"/>
              <w:widowControl/>
              <w:spacing w:before="120" w:after="120"/>
              <w:rPr>
                <w:b w:val="0"/>
                <w:color w:val="FFFFFF" w:themeColor="background1"/>
              </w:rPr>
            </w:pPr>
            <w:bookmarkStart w:id="1" w:name="_Hlk520908638"/>
            <w:r w:rsidRPr="00E91F6E">
              <w:rPr>
                <w:color w:val="FFFFFF" w:themeColor="background1"/>
              </w:rPr>
              <w:lastRenderedPageBreak/>
              <w:t>Detailed instructions for completion of the financial statement</w:t>
            </w:r>
            <w:bookmarkEnd w:id="1"/>
          </w:p>
        </w:tc>
      </w:tr>
    </w:tbl>
    <w:p w14:paraId="43B256D8" w14:textId="77777777" w:rsidR="00534483" w:rsidRPr="00E91F6E" w:rsidRDefault="00534483" w:rsidP="00ED3D38">
      <w:pPr>
        <w:widowControl/>
        <w:jc w:val="both"/>
        <w:rPr>
          <w:b/>
          <w:sz w:val="22"/>
          <w:szCs w:val="22"/>
        </w:rPr>
      </w:pPr>
    </w:p>
    <w:p w14:paraId="194B1540" w14:textId="04DB150D" w:rsidR="005D23FB" w:rsidRPr="00E91F6E" w:rsidRDefault="00EF2135" w:rsidP="00ED3D38">
      <w:pPr>
        <w:widowControl/>
        <w:jc w:val="both"/>
        <w:rPr>
          <w:b/>
          <w:sz w:val="22"/>
          <w:szCs w:val="22"/>
        </w:rPr>
      </w:pPr>
      <w:r w:rsidRPr="00E91F6E">
        <w:rPr>
          <w:b/>
          <w:sz w:val="22"/>
          <w:szCs w:val="22"/>
        </w:rPr>
        <w:t>Below are the i</w:t>
      </w:r>
      <w:r w:rsidR="005D23FB" w:rsidRPr="00E91F6E">
        <w:rPr>
          <w:b/>
          <w:sz w:val="22"/>
          <w:szCs w:val="22"/>
        </w:rPr>
        <w:t>nstructions</w:t>
      </w:r>
      <w:r w:rsidRPr="00E91F6E">
        <w:rPr>
          <w:b/>
          <w:sz w:val="22"/>
          <w:szCs w:val="22"/>
        </w:rPr>
        <w:t xml:space="preserve"> for completing the Statement of Receipts, Disbursements, and Changes in Cash Balances (</w:t>
      </w:r>
      <w:r w:rsidR="00CE76F2" w:rsidRPr="00E91F6E">
        <w:rPr>
          <w:b/>
          <w:sz w:val="22"/>
          <w:szCs w:val="22"/>
        </w:rPr>
        <w:t xml:space="preserve">the </w:t>
      </w:r>
      <w:r w:rsidRPr="00E91F6E">
        <w:rPr>
          <w:b/>
          <w:sz w:val="22"/>
          <w:szCs w:val="22"/>
        </w:rPr>
        <w:t>“financial statement”) on the page</w:t>
      </w:r>
      <w:r w:rsidR="00ED3D38" w:rsidRPr="00E91F6E">
        <w:rPr>
          <w:b/>
          <w:sz w:val="22"/>
          <w:szCs w:val="22"/>
        </w:rPr>
        <w:t xml:space="preserve"> </w:t>
      </w:r>
      <w:r w:rsidR="00D9668C" w:rsidRPr="00E91F6E">
        <w:rPr>
          <w:b/>
          <w:sz w:val="22"/>
          <w:szCs w:val="22"/>
        </w:rPr>
        <w:t>7</w:t>
      </w:r>
      <w:r w:rsidR="00CE6BB0" w:rsidRPr="00E91F6E">
        <w:rPr>
          <w:b/>
          <w:sz w:val="22"/>
          <w:szCs w:val="22"/>
        </w:rPr>
        <w:t>.</w:t>
      </w:r>
    </w:p>
    <w:p w14:paraId="3AB16234" w14:textId="382AF883" w:rsidR="005D23FB" w:rsidRPr="00E91F6E" w:rsidRDefault="005D23FB" w:rsidP="00ED3D38">
      <w:pPr>
        <w:widowControl/>
        <w:jc w:val="both"/>
        <w:rPr>
          <w:b/>
          <w:sz w:val="22"/>
          <w:szCs w:val="22"/>
        </w:rPr>
      </w:pPr>
    </w:p>
    <w:p w14:paraId="638C7947" w14:textId="52158C0A" w:rsidR="00ED3D38" w:rsidRPr="00E91F6E" w:rsidRDefault="00ED3D38" w:rsidP="00ED3D38">
      <w:pPr>
        <w:widowControl/>
        <w:jc w:val="both"/>
        <w:rPr>
          <w:b/>
          <w:sz w:val="22"/>
          <w:szCs w:val="22"/>
        </w:rPr>
      </w:pPr>
      <w:r w:rsidRPr="00E91F6E">
        <w:rPr>
          <w:b/>
          <w:sz w:val="22"/>
          <w:szCs w:val="22"/>
        </w:rPr>
        <w:t>The financial statement should include the beginning and ending cash balance, receipts apportioned, disbursements, and transfers in and out of all County Funds for the fisca</w:t>
      </w:r>
      <w:r w:rsidR="007A2800" w:rsidRPr="00E91F6E">
        <w:rPr>
          <w:b/>
          <w:sz w:val="22"/>
          <w:szCs w:val="22"/>
        </w:rPr>
        <w:t>l year (July 1 through June 30).</w:t>
      </w:r>
      <w:r w:rsidR="00CE6BB0" w:rsidRPr="00E91F6E">
        <w:rPr>
          <w:b/>
          <w:sz w:val="22"/>
          <w:szCs w:val="22"/>
        </w:rPr>
        <w:t xml:space="preserve">  This can be accomplished by completing the following steps:</w:t>
      </w:r>
    </w:p>
    <w:p w14:paraId="68B0DAB6" w14:textId="75CE9C7D" w:rsidR="00ED3D38" w:rsidRPr="00E91F6E" w:rsidRDefault="00ED3D38" w:rsidP="00ED3D38">
      <w:pPr>
        <w:widowControl/>
        <w:jc w:val="both"/>
        <w:rPr>
          <w:b/>
          <w:sz w:val="22"/>
          <w:szCs w:val="22"/>
        </w:rPr>
      </w:pPr>
    </w:p>
    <w:p w14:paraId="5D60F48B" w14:textId="1A8AFF12" w:rsidR="00ED3D38" w:rsidRPr="00E91F6E" w:rsidRDefault="00CE6BB0" w:rsidP="00ED3D38">
      <w:pPr>
        <w:widowControl/>
        <w:jc w:val="center"/>
        <w:rPr>
          <w:b/>
          <w:sz w:val="32"/>
          <w:szCs w:val="32"/>
          <w:highlight w:val="green"/>
        </w:rPr>
      </w:pPr>
      <w:r w:rsidRPr="00E91F6E">
        <w:rPr>
          <w:b/>
          <w:sz w:val="32"/>
          <w:szCs w:val="32"/>
          <w:highlight w:val="green"/>
        </w:rPr>
        <w:t xml:space="preserve">STEP 1: </w:t>
      </w:r>
      <w:r w:rsidR="00ED3D38" w:rsidRPr="00E91F6E">
        <w:rPr>
          <w:b/>
          <w:sz w:val="32"/>
          <w:szCs w:val="32"/>
          <w:highlight w:val="green"/>
        </w:rPr>
        <w:t>COUNTY FUNDS</w:t>
      </w:r>
    </w:p>
    <w:p w14:paraId="0D450662" w14:textId="68879512" w:rsidR="00ED3D38" w:rsidRPr="00E91F6E" w:rsidRDefault="00ED3D38" w:rsidP="00ED3D38">
      <w:pPr>
        <w:widowControl/>
        <w:jc w:val="both"/>
        <w:rPr>
          <w:b/>
          <w:sz w:val="22"/>
          <w:szCs w:val="22"/>
        </w:rPr>
      </w:pPr>
      <w:r w:rsidRPr="00E91F6E">
        <w:rPr>
          <w:b/>
          <w:sz w:val="22"/>
          <w:szCs w:val="22"/>
        </w:rPr>
        <w:t xml:space="preserve">The County’s General Ledger is comprised of both County Funds and Trust and Agency Funds.  </w:t>
      </w:r>
      <w:r w:rsidRPr="00E91F6E">
        <w:rPr>
          <w:b/>
          <w:sz w:val="22"/>
          <w:szCs w:val="22"/>
          <w:u w:val="single"/>
        </w:rPr>
        <w:t>Only County Funds are to be included in the financial statement</w:t>
      </w:r>
      <w:r w:rsidR="007A2800" w:rsidRPr="00E91F6E">
        <w:rPr>
          <w:b/>
          <w:sz w:val="22"/>
          <w:szCs w:val="22"/>
        </w:rPr>
        <w:t>.</w:t>
      </w:r>
    </w:p>
    <w:p w14:paraId="346EBA1E" w14:textId="16E6DDED" w:rsidR="007A2800" w:rsidRPr="00E91F6E" w:rsidRDefault="007A2800" w:rsidP="00ED3D38">
      <w:pPr>
        <w:widowControl/>
        <w:jc w:val="both"/>
        <w:rPr>
          <w:b/>
          <w:sz w:val="22"/>
          <w:szCs w:val="22"/>
        </w:rPr>
      </w:pPr>
    </w:p>
    <w:p w14:paraId="31DC9C73" w14:textId="2A0AAD3B" w:rsidR="007A2800" w:rsidRPr="00E91F6E" w:rsidRDefault="007A2800" w:rsidP="00ED3D38">
      <w:pPr>
        <w:widowControl/>
        <w:jc w:val="both"/>
        <w:rPr>
          <w:b/>
          <w:sz w:val="22"/>
          <w:szCs w:val="22"/>
        </w:rPr>
      </w:pPr>
      <w:r w:rsidRPr="00E91F6E">
        <w:rPr>
          <w:b/>
          <w:sz w:val="22"/>
          <w:szCs w:val="22"/>
        </w:rPr>
        <w:t xml:space="preserve">COUNTY FUNDS – Those funds </w:t>
      </w:r>
      <w:r w:rsidR="00CE76F2" w:rsidRPr="00E91F6E">
        <w:rPr>
          <w:b/>
          <w:sz w:val="22"/>
          <w:szCs w:val="22"/>
        </w:rPr>
        <w:t>governed</w:t>
      </w:r>
      <w:r w:rsidRPr="00E91F6E">
        <w:rPr>
          <w:b/>
          <w:sz w:val="22"/>
          <w:szCs w:val="22"/>
        </w:rPr>
        <w:t xml:space="preserve"> by the County (all County employees and officers).</w:t>
      </w:r>
    </w:p>
    <w:p w14:paraId="53FFE3A2" w14:textId="1ACC9B11" w:rsidR="007A2800" w:rsidRPr="00E91F6E" w:rsidRDefault="007A2800" w:rsidP="00ED3D38">
      <w:pPr>
        <w:widowControl/>
        <w:jc w:val="both"/>
        <w:rPr>
          <w:b/>
          <w:sz w:val="22"/>
          <w:szCs w:val="22"/>
        </w:rPr>
      </w:pPr>
    </w:p>
    <w:p w14:paraId="36658D27" w14:textId="0E9A8D06" w:rsidR="007A2800" w:rsidRPr="00E91F6E" w:rsidRDefault="007A2800" w:rsidP="00ED3D38">
      <w:pPr>
        <w:widowControl/>
        <w:jc w:val="both"/>
        <w:rPr>
          <w:b/>
          <w:sz w:val="22"/>
          <w:szCs w:val="22"/>
        </w:rPr>
      </w:pPr>
      <w:r w:rsidRPr="00E91F6E">
        <w:rPr>
          <w:b/>
          <w:sz w:val="22"/>
          <w:szCs w:val="22"/>
        </w:rPr>
        <w:t>TRUST AND AGENCY FUNDS – Those funds held in trust by the County for another entity (school districts, fire departments, etc.).</w:t>
      </w:r>
    </w:p>
    <w:p w14:paraId="7B7F9ED4" w14:textId="0FFB57D4" w:rsidR="0023487C" w:rsidRPr="00E91F6E" w:rsidRDefault="0023487C" w:rsidP="00ED3D38">
      <w:pPr>
        <w:widowControl/>
        <w:jc w:val="both"/>
        <w:rPr>
          <w:b/>
          <w:sz w:val="22"/>
          <w:szCs w:val="22"/>
        </w:rPr>
      </w:pPr>
    </w:p>
    <w:p w14:paraId="5B36C71E" w14:textId="23D6F15B" w:rsidR="00ED3D38" w:rsidRPr="00E91F6E" w:rsidRDefault="0023487C" w:rsidP="00ED3D38">
      <w:pPr>
        <w:widowControl/>
        <w:jc w:val="both"/>
        <w:rPr>
          <w:b/>
          <w:sz w:val="22"/>
          <w:szCs w:val="22"/>
        </w:rPr>
      </w:pPr>
      <w:r w:rsidRPr="00E91F6E">
        <w:rPr>
          <w:b/>
          <w:sz w:val="22"/>
          <w:szCs w:val="22"/>
        </w:rPr>
        <w:t xml:space="preserve">As a general rule, a County Fund is any fund from which purchase orders are issued and approved by the BOCC and a Trust and Agency Fund is any fund from which purchase orders are </w:t>
      </w:r>
      <w:r w:rsidRPr="00E91F6E">
        <w:rPr>
          <w:b/>
          <w:sz w:val="22"/>
          <w:szCs w:val="22"/>
          <w:u w:val="single"/>
        </w:rPr>
        <w:t>not</w:t>
      </w:r>
      <w:r w:rsidRPr="00E91F6E">
        <w:rPr>
          <w:b/>
          <w:sz w:val="22"/>
          <w:szCs w:val="22"/>
        </w:rPr>
        <w:t xml:space="preserve"> issued and approved by the BOCC.</w:t>
      </w:r>
      <w:r w:rsidR="00A603DA" w:rsidRPr="00E91F6E">
        <w:rPr>
          <w:b/>
          <w:sz w:val="22"/>
          <w:szCs w:val="22"/>
        </w:rPr>
        <w:t xml:space="preserve">  However, the following exceptions may apply:</w:t>
      </w:r>
    </w:p>
    <w:p w14:paraId="3DC74E7C" w14:textId="04E81FB4" w:rsidR="00532809" w:rsidRPr="00E91F6E" w:rsidRDefault="00A603DA" w:rsidP="00532809">
      <w:pPr>
        <w:pStyle w:val="ListParagraph"/>
        <w:numPr>
          <w:ilvl w:val="0"/>
          <w:numId w:val="24"/>
        </w:numPr>
        <w:jc w:val="both"/>
        <w:rPr>
          <w:b/>
          <w:sz w:val="22"/>
          <w:szCs w:val="22"/>
        </w:rPr>
      </w:pPr>
      <w:r w:rsidRPr="00E91F6E">
        <w:rPr>
          <w:b/>
          <w:sz w:val="22"/>
          <w:szCs w:val="22"/>
        </w:rPr>
        <w:t>Sales tax collections that are designated for other authorities are still accounted for in a County Fund u</w:t>
      </w:r>
      <w:r w:rsidR="00532809" w:rsidRPr="00E91F6E">
        <w:rPr>
          <w:b/>
          <w:sz w:val="22"/>
          <w:szCs w:val="22"/>
        </w:rPr>
        <w:t xml:space="preserve">ntil </w:t>
      </w:r>
      <w:r w:rsidRPr="00E91F6E">
        <w:rPr>
          <w:b/>
          <w:sz w:val="22"/>
          <w:szCs w:val="22"/>
        </w:rPr>
        <w:t xml:space="preserve">the collections have been </w:t>
      </w:r>
      <w:r w:rsidR="00532809" w:rsidRPr="00E91F6E">
        <w:rPr>
          <w:b/>
          <w:sz w:val="22"/>
          <w:szCs w:val="22"/>
        </w:rPr>
        <w:t>relinquished to the designated authority.</w:t>
      </w:r>
    </w:p>
    <w:p w14:paraId="221AB321" w14:textId="2A4E81C8" w:rsidR="00532809" w:rsidRPr="00E91F6E" w:rsidRDefault="00A603DA" w:rsidP="00532809">
      <w:pPr>
        <w:pStyle w:val="ListParagraph"/>
        <w:numPr>
          <w:ilvl w:val="0"/>
          <w:numId w:val="24"/>
        </w:numPr>
        <w:jc w:val="both"/>
        <w:rPr>
          <w:b/>
          <w:sz w:val="22"/>
          <w:szCs w:val="22"/>
        </w:rPr>
      </w:pPr>
      <w:r w:rsidRPr="00E91F6E">
        <w:rPr>
          <w:b/>
          <w:sz w:val="22"/>
          <w:szCs w:val="22"/>
        </w:rPr>
        <w:t>A</w:t>
      </w:r>
      <w:r w:rsidR="00532809" w:rsidRPr="00E91F6E">
        <w:rPr>
          <w:b/>
          <w:sz w:val="22"/>
          <w:szCs w:val="22"/>
        </w:rPr>
        <w:t xml:space="preserve"> school district in which the County Treasurer acts as the </w:t>
      </w:r>
      <w:r w:rsidRPr="00E91F6E">
        <w:rPr>
          <w:b/>
          <w:sz w:val="22"/>
          <w:szCs w:val="22"/>
        </w:rPr>
        <w:t>t</w:t>
      </w:r>
      <w:r w:rsidR="00532809" w:rsidRPr="00E91F6E">
        <w:rPr>
          <w:b/>
          <w:sz w:val="22"/>
          <w:szCs w:val="22"/>
        </w:rPr>
        <w:t xml:space="preserve">reasurer </w:t>
      </w:r>
      <w:r w:rsidRPr="00E91F6E">
        <w:rPr>
          <w:b/>
          <w:sz w:val="22"/>
          <w:szCs w:val="22"/>
        </w:rPr>
        <w:t xml:space="preserve">is </w:t>
      </w:r>
      <w:r w:rsidR="00223996" w:rsidRPr="00E91F6E">
        <w:rPr>
          <w:b/>
          <w:sz w:val="22"/>
          <w:szCs w:val="22"/>
        </w:rPr>
        <w:t xml:space="preserve">not </w:t>
      </w:r>
      <w:r w:rsidRPr="00E91F6E">
        <w:rPr>
          <w:b/>
          <w:sz w:val="22"/>
          <w:szCs w:val="22"/>
        </w:rPr>
        <w:t>a County Fund</w:t>
      </w:r>
      <w:r w:rsidR="00532809" w:rsidRPr="00E91F6E">
        <w:rPr>
          <w:b/>
          <w:sz w:val="22"/>
          <w:szCs w:val="22"/>
        </w:rPr>
        <w:t>.</w:t>
      </w:r>
    </w:p>
    <w:p w14:paraId="1B47B86C" w14:textId="4494F162" w:rsidR="00A603DA" w:rsidRPr="00E91F6E" w:rsidRDefault="00A603DA" w:rsidP="00532809">
      <w:pPr>
        <w:pStyle w:val="ListParagraph"/>
        <w:numPr>
          <w:ilvl w:val="0"/>
          <w:numId w:val="24"/>
        </w:numPr>
        <w:jc w:val="both"/>
        <w:rPr>
          <w:b/>
          <w:sz w:val="22"/>
          <w:szCs w:val="22"/>
        </w:rPr>
      </w:pPr>
      <w:r w:rsidRPr="00E91F6E">
        <w:rPr>
          <w:b/>
          <w:sz w:val="22"/>
          <w:szCs w:val="22"/>
        </w:rPr>
        <w:t>An EMS District that has its expenditures approved by the BOCC is a County Fund (this is very rare).</w:t>
      </w:r>
    </w:p>
    <w:p w14:paraId="20FD256E" w14:textId="1FD739BA" w:rsidR="00A603DA" w:rsidRPr="00E91F6E" w:rsidRDefault="00A603DA" w:rsidP="00532809">
      <w:pPr>
        <w:pStyle w:val="ListParagraph"/>
        <w:numPr>
          <w:ilvl w:val="0"/>
          <w:numId w:val="24"/>
        </w:numPr>
        <w:jc w:val="both"/>
        <w:rPr>
          <w:b/>
          <w:sz w:val="22"/>
          <w:szCs w:val="22"/>
        </w:rPr>
      </w:pPr>
      <w:r w:rsidRPr="00E91F6E">
        <w:rPr>
          <w:b/>
          <w:sz w:val="22"/>
          <w:szCs w:val="22"/>
        </w:rPr>
        <w:t>A Fire District that receives County money and in which the County Treasurer acts as the treasurer is a County Fund.</w:t>
      </w:r>
    </w:p>
    <w:p w14:paraId="7556C8C9" w14:textId="099E3B7C" w:rsidR="00532809" w:rsidRPr="00E91F6E" w:rsidRDefault="00A603DA" w:rsidP="00532809">
      <w:pPr>
        <w:pStyle w:val="ListParagraph"/>
        <w:numPr>
          <w:ilvl w:val="0"/>
          <w:numId w:val="24"/>
        </w:numPr>
        <w:jc w:val="both"/>
        <w:rPr>
          <w:b/>
          <w:sz w:val="22"/>
          <w:szCs w:val="22"/>
        </w:rPr>
      </w:pPr>
      <w:r w:rsidRPr="00E91F6E">
        <w:rPr>
          <w:b/>
          <w:sz w:val="22"/>
          <w:szCs w:val="22"/>
        </w:rPr>
        <w:t>O</w:t>
      </w:r>
      <w:r w:rsidR="00532809" w:rsidRPr="00E91F6E">
        <w:rPr>
          <w:b/>
          <w:sz w:val="22"/>
          <w:szCs w:val="22"/>
        </w:rPr>
        <w:t xml:space="preserve">fficial Depository is a Trust and Agency </w:t>
      </w:r>
      <w:r w:rsidRPr="00E91F6E">
        <w:rPr>
          <w:b/>
          <w:sz w:val="22"/>
          <w:szCs w:val="22"/>
        </w:rPr>
        <w:t>F</w:t>
      </w:r>
      <w:r w:rsidR="00532809" w:rsidRPr="00E91F6E">
        <w:rPr>
          <w:b/>
          <w:sz w:val="22"/>
          <w:szCs w:val="22"/>
        </w:rPr>
        <w:t xml:space="preserve">und until the monies are apportioned to </w:t>
      </w:r>
      <w:r w:rsidRPr="00E91F6E">
        <w:rPr>
          <w:b/>
          <w:sz w:val="22"/>
          <w:szCs w:val="22"/>
        </w:rPr>
        <w:t>a County Fund</w:t>
      </w:r>
      <w:r w:rsidR="00532809" w:rsidRPr="00E91F6E">
        <w:rPr>
          <w:b/>
          <w:sz w:val="22"/>
          <w:szCs w:val="22"/>
        </w:rPr>
        <w:t>.</w:t>
      </w:r>
    </w:p>
    <w:p w14:paraId="165CA6D1" w14:textId="36C5D520" w:rsidR="00E70CA3" w:rsidRPr="00E91F6E" w:rsidRDefault="0017438A" w:rsidP="00532809">
      <w:pPr>
        <w:pStyle w:val="ListParagraph"/>
        <w:numPr>
          <w:ilvl w:val="0"/>
          <w:numId w:val="24"/>
        </w:numPr>
        <w:jc w:val="both"/>
        <w:rPr>
          <w:b/>
          <w:sz w:val="22"/>
          <w:szCs w:val="22"/>
        </w:rPr>
      </w:pPr>
      <w:r w:rsidRPr="00E91F6E">
        <w:rPr>
          <w:b/>
          <w:sz w:val="22"/>
          <w:szCs w:val="22"/>
        </w:rPr>
        <w:t>A Trust Authority</w:t>
      </w:r>
      <w:r w:rsidR="00E70CA3" w:rsidRPr="00E91F6E">
        <w:rPr>
          <w:b/>
          <w:sz w:val="22"/>
          <w:szCs w:val="22"/>
        </w:rPr>
        <w:t xml:space="preserve"> created by the County</w:t>
      </w:r>
      <w:r w:rsidR="00223996" w:rsidRPr="00E91F6E">
        <w:rPr>
          <w:b/>
          <w:sz w:val="22"/>
          <w:szCs w:val="22"/>
        </w:rPr>
        <w:t xml:space="preserve"> is not a County Fund</w:t>
      </w:r>
      <w:r w:rsidR="00E70CA3" w:rsidRPr="00E91F6E">
        <w:rPr>
          <w:b/>
          <w:sz w:val="22"/>
          <w:szCs w:val="22"/>
        </w:rPr>
        <w:t xml:space="preserve">, even if the BOCC are on the </w:t>
      </w:r>
      <w:r w:rsidRPr="00E91F6E">
        <w:rPr>
          <w:b/>
          <w:sz w:val="22"/>
          <w:szCs w:val="22"/>
        </w:rPr>
        <w:t xml:space="preserve">Authority’s </w:t>
      </w:r>
      <w:r w:rsidR="00E70CA3" w:rsidRPr="00E91F6E">
        <w:rPr>
          <w:b/>
          <w:sz w:val="22"/>
          <w:szCs w:val="22"/>
        </w:rPr>
        <w:t>Board</w:t>
      </w:r>
      <w:r w:rsidRPr="00E91F6E">
        <w:rPr>
          <w:b/>
          <w:sz w:val="22"/>
          <w:szCs w:val="22"/>
        </w:rPr>
        <w:t>.</w:t>
      </w:r>
    </w:p>
    <w:p w14:paraId="3BDF333C" w14:textId="647B60FD" w:rsidR="00CE6BB0" w:rsidRPr="00E91F6E" w:rsidRDefault="00CE6BB0" w:rsidP="00CE6BB0">
      <w:pPr>
        <w:jc w:val="both"/>
        <w:rPr>
          <w:b/>
          <w:sz w:val="22"/>
          <w:szCs w:val="22"/>
        </w:rPr>
      </w:pPr>
    </w:p>
    <w:p w14:paraId="5B18463F" w14:textId="77777777" w:rsidR="00CE6BB0" w:rsidRPr="00E91F6E" w:rsidRDefault="00CE6BB0" w:rsidP="00CE6BB0">
      <w:pPr>
        <w:jc w:val="both"/>
        <w:rPr>
          <w:b/>
          <w:sz w:val="22"/>
          <w:szCs w:val="22"/>
          <w:highlight w:val="green"/>
        </w:rPr>
      </w:pPr>
    </w:p>
    <w:p w14:paraId="58979539" w14:textId="624BDB6E" w:rsidR="00CE6BB0" w:rsidRPr="00E91F6E" w:rsidRDefault="00CE6BB0" w:rsidP="00CE6BB0">
      <w:pPr>
        <w:widowControl/>
        <w:jc w:val="center"/>
        <w:rPr>
          <w:b/>
          <w:sz w:val="32"/>
          <w:szCs w:val="32"/>
          <w:highlight w:val="green"/>
        </w:rPr>
      </w:pPr>
      <w:r w:rsidRPr="00E91F6E">
        <w:rPr>
          <w:b/>
          <w:sz w:val="32"/>
          <w:szCs w:val="32"/>
          <w:highlight w:val="green"/>
        </w:rPr>
        <w:t>STEP 2: GATHERING INFORMATION ON COUNTY FUNDS</w:t>
      </w:r>
    </w:p>
    <w:p w14:paraId="7E673635" w14:textId="0AA6CB94" w:rsidR="00CE6BB0" w:rsidRPr="00E91F6E" w:rsidRDefault="00CE6BB0" w:rsidP="00CE6BB0">
      <w:pPr>
        <w:jc w:val="both"/>
        <w:rPr>
          <w:b/>
          <w:sz w:val="22"/>
          <w:szCs w:val="22"/>
        </w:rPr>
      </w:pPr>
      <w:r w:rsidRPr="00E91F6E">
        <w:rPr>
          <w:b/>
          <w:sz w:val="22"/>
          <w:szCs w:val="22"/>
        </w:rPr>
        <w:t>Once the County Funds have been identified in the General Ledger, the beginning and ending cash balance, receipts apportioned, disbursements, and transfers in and out for the fiscal year should be obtained for each County Fund.</w:t>
      </w:r>
    </w:p>
    <w:p w14:paraId="3BDC9561" w14:textId="185B6EF3" w:rsidR="00012EF5" w:rsidRPr="00E91F6E" w:rsidRDefault="00012EF5" w:rsidP="00CE6BB0">
      <w:pPr>
        <w:jc w:val="both"/>
        <w:rPr>
          <w:b/>
          <w:sz w:val="22"/>
          <w:szCs w:val="22"/>
        </w:rPr>
      </w:pPr>
    </w:p>
    <w:p w14:paraId="06BC2969" w14:textId="1CDBA4D6" w:rsidR="00012EF5" w:rsidRPr="00E91F6E" w:rsidRDefault="00012EF5" w:rsidP="00CE6BB0">
      <w:pPr>
        <w:jc w:val="both"/>
        <w:rPr>
          <w:b/>
          <w:sz w:val="22"/>
          <w:szCs w:val="22"/>
        </w:rPr>
      </w:pPr>
      <w:r w:rsidRPr="00E91F6E">
        <w:rPr>
          <w:b/>
          <w:sz w:val="22"/>
          <w:szCs w:val="22"/>
        </w:rPr>
        <w:t xml:space="preserve">If the County Treasurer uses </w:t>
      </w:r>
      <w:proofErr w:type="spellStart"/>
      <w:r w:rsidRPr="00E91F6E">
        <w:rPr>
          <w:b/>
          <w:sz w:val="22"/>
          <w:szCs w:val="22"/>
        </w:rPr>
        <w:t>KellPro</w:t>
      </w:r>
      <w:proofErr w:type="spellEnd"/>
      <w:r w:rsidRPr="00E91F6E">
        <w:rPr>
          <w:b/>
          <w:sz w:val="22"/>
          <w:szCs w:val="22"/>
        </w:rPr>
        <w:t xml:space="preserve"> or Tom Martens to account for County transactions, the majority of the required information may be obtained by running a </w:t>
      </w:r>
      <w:r w:rsidRPr="00E91F6E">
        <w:rPr>
          <w:b/>
          <w:i/>
          <w:sz w:val="22"/>
          <w:szCs w:val="22"/>
        </w:rPr>
        <w:t xml:space="preserve">fiscal </w:t>
      </w:r>
      <w:r w:rsidR="00CE76F2" w:rsidRPr="00E91F6E">
        <w:rPr>
          <w:b/>
          <w:i/>
          <w:sz w:val="22"/>
          <w:szCs w:val="22"/>
        </w:rPr>
        <w:t>year-end</w:t>
      </w:r>
      <w:r w:rsidRPr="00E91F6E">
        <w:rPr>
          <w:b/>
          <w:i/>
          <w:sz w:val="22"/>
          <w:szCs w:val="22"/>
        </w:rPr>
        <w:t xml:space="preserve"> report</w:t>
      </w:r>
      <w:r w:rsidRPr="00E91F6E">
        <w:rPr>
          <w:b/>
          <w:sz w:val="22"/>
          <w:szCs w:val="22"/>
        </w:rPr>
        <w:t xml:space="preserve"> on all funds.  This is a report that compiles all monthly Treasurer’s Reports for the fiscal year to show the combined totals for each fund.</w:t>
      </w:r>
    </w:p>
    <w:p w14:paraId="555A7FC9" w14:textId="0BE52BE6" w:rsidR="00012EF5" w:rsidRPr="00E91F6E" w:rsidRDefault="00012EF5" w:rsidP="00CE6BB0">
      <w:pPr>
        <w:jc w:val="both"/>
        <w:rPr>
          <w:b/>
          <w:sz w:val="22"/>
          <w:szCs w:val="22"/>
        </w:rPr>
      </w:pPr>
    </w:p>
    <w:p w14:paraId="3EB088E8" w14:textId="4F36C5C4" w:rsidR="00012EF5" w:rsidRPr="00E91F6E" w:rsidRDefault="00012EF5" w:rsidP="00CE6BB0">
      <w:pPr>
        <w:jc w:val="both"/>
        <w:rPr>
          <w:b/>
          <w:sz w:val="22"/>
          <w:szCs w:val="22"/>
        </w:rPr>
      </w:pPr>
      <w:r w:rsidRPr="00E91F6E">
        <w:rPr>
          <w:b/>
          <w:sz w:val="22"/>
          <w:szCs w:val="22"/>
        </w:rPr>
        <w:t xml:space="preserve">Your audit manager from the State Auditor and Inspector’s Office can provide, upon request, a </w:t>
      </w:r>
      <w:r w:rsidRPr="00E91F6E">
        <w:rPr>
          <w:b/>
          <w:i/>
          <w:sz w:val="22"/>
          <w:szCs w:val="22"/>
        </w:rPr>
        <w:t>Cash to Cash</w:t>
      </w:r>
      <w:r w:rsidRPr="00E91F6E">
        <w:rPr>
          <w:b/>
          <w:sz w:val="22"/>
          <w:szCs w:val="22"/>
        </w:rPr>
        <w:t xml:space="preserve"> template.  This is a template used </w:t>
      </w:r>
      <w:r w:rsidR="00CE76F2" w:rsidRPr="00E91F6E">
        <w:rPr>
          <w:b/>
          <w:sz w:val="22"/>
          <w:szCs w:val="22"/>
        </w:rPr>
        <w:t xml:space="preserve">in </w:t>
      </w:r>
      <w:r w:rsidRPr="00E91F6E">
        <w:rPr>
          <w:b/>
          <w:sz w:val="22"/>
          <w:szCs w:val="22"/>
        </w:rPr>
        <w:t xml:space="preserve">audits to compile the monthly Treasurer’s Reports </w:t>
      </w:r>
      <w:r w:rsidRPr="00E91F6E">
        <w:rPr>
          <w:b/>
          <w:sz w:val="22"/>
          <w:szCs w:val="22"/>
        </w:rPr>
        <w:lastRenderedPageBreak/>
        <w:t xml:space="preserve">manually.  The difference between the </w:t>
      </w:r>
      <w:r w:rsidRPr="00E91F6E">
        <w:rPr>
          <w:b/>
          <w:i/>
          <w:sz w:val="22"/>
          <w:szCs w:val="22"/>
        </w:rPr>
        <w:t>Cash to Cash</w:t>
      </w:r>
      <w:r w:rsidRPr="00E91F6E">
        <w:rPr>
          <w:b/>
          <w:sz w:val="22"/>
          <w:szCs w:val="22"/>
        </w:rPr>
        <w:t xml:space="preserve"> template and running a </w:t>
      </w:r>
      <w:r w:rsidRPr="00E91F6E">
        <w:rPr>
          <w:b/>
          <w:i/>
          <w:sz w:val="22"/>
          <w:szCs w:val="22"/>
        </w:rPr>
        <w:t xml:space="preserve">fiscal </w:t>
      </w:r>
      <w:r w:rsidR="00CE76F2" w:rsidRPr="00E91F6E">
        <w:rPr>
          <w:b/>
          <w:i/>
          <w:sz w:val="22"/>
          <w:szCs w:val="22"/>
        </w:rPr>
        <w:t>year-end</w:t>
      </w:r>
      <w:r w:rsidRPr="00E91F6E">
        <w:rPr>
          <w:b/>
          <w:i/>
          <w:sz w:val="22"/>
          <w:szCs w:val="22"/>
        </w:rPr>
        <w:t xml:space="preserve"> report</w:t>
      </w:r>
      <w:r w:rsidRPr="00E91F6E">
        <w:rPr>
          <w:b/>
          <w:sz w:val="22"/>
          <w:szCs w:val="22"/>
        </w:rPr>
        <w:t xml:space="preserve"> </w:t>
      </w:r>
      <w:r w:rsidR="00CE76F2" w:rsidRPr="00E91F6E">
        <w:rPr>
          <w:b/>
          <w:sz w:val="22"/>
          <w:szCs w:val="22"/>
        </w:rPr>
        <w:t>from your accounting software</w:t>
      </w:r>
      <w:r w:rsidRPr="00E91F6E">
        <w:rPr>
          <w:b/>
          <w:sz w:val="22"/>
          <w:szCs w:val="22"/>
        </w:rPr>
        <w:t xml:space="preserve"> is that the </w:t>
      </w:r>
      <w:r w:rsidRPr="00E91F6E">
        <w:rPr>
          <w:b/>
          <w:i/>
          <w:sz w:val="22"/>
          <w:szCs w:val="22"/>
        </w:rPr>
        <w:t>Cash to Cash</w:t>
      </w:r>
      <w:r w:rsidRPr="00E91F6E">
        <w:rPr>
          <w:b/>
          <w:sz w:val="22"/>
          <w:szCs w:val="22"/>
        </w:rPr>
        <w:t xml:space="preserve"> template provides a space to make adjustments for transfers that may have been misclassified.  Transfers are discussed in detail below.  In the event the monthly Treasurer Reports contain multiple transfers that were misclassified, the </w:t>
      </w:r>
      <w:r w:rsidRPr="00E91F6E">
        <w:rPr>
          <w:b/>
          <w:i/>
          <w:sz w:val="22"/>
          <w:szCs w:val="22"/>
        </w:rPr>
        <w:t>Cash to Cash</w:t>
      </w:r>
      <w:r w:rsidRPr="00E91F6E">
        <w:rPr>
          <w:b/>
          <w:sz w:val="22"/>
          <w:szCs w:val="22"/>
        </w:rPr>
        <w:t xml:space="preserve"> template may be helpful in making corrections to the financial statement reported in this template.</w:t>
      </w:r>
    </w:p>
    <w:p w14:paraId="6F38796D" w14:textId="51992149" w:rsidR="00CE6BB0" w:rsidRPr="00E91F6E" w:rsidRDefault="00CE6BB0" w:rsidP="00CE6BB0">
      <w:pPr>
        <w:jc w:val="both"/>
        <w:rPr>
          <w:b/>
          <w:sz w:val="22"/>
          <w:szCs w:val="22"/>
        </w:rPr>
      </w:pPr>
    </w:p>
    <w:p w14:paraId="7A9EC302" w14:textId="77777777" w:rsidR="00A6448E" w:rsidRPr="00E91F6E" w:rsidRDefault="00A6448E" w:rsidP="00CE6BB0">
      <w:pPr>
        <w:jc w:val="both"/>
        <w:rPr>
          <w:b/>
          <w:sz w:val="22"/>
          <w:szCs w:val="22"/>
          <w:highlight w:val="green"/>
        </w:rPr>
      </w:pPr>
    </w:p>
    <w:p w14:paraId="35EBAC4B" w14:textId="393BA230" w:rsidR="00CE6BB0" w:rsidRPr="00E91F6E" w:rsidRDefault="00CE6BB0" w:rsidP="00CE6BB0">
      <w:pPr>
        <w:widowControl/>
        <w:jc w:val="center"/>
        <w:rPr>
          <w:b/>
          <w:sz w:val="32"/>
          <w:szCs w:val="32"/>
          <w:highlight w:val="green"/>
        </w:rPr>
      </w:pPr>
      <w:r w:rsidRPr="00E91F6E">
        <w:rPr>
          <w:b/>
          <w:sz w:val="32"/>
          <w:szCs w:val="32"/>
          <w:highlight w:val="green"/>
        </w:rPr>
        <w:t>STEP 3: BEGINNING AND ENDING CASH BALANCES</w:t>
      </w:r>
    </w:p>
    <w:p w14:paraId="173DB8EA" w14:textId="7D60336E" w:rsidR="00CE6BB0" w:rsidRPr="00E91F6E" w:rsidRDefault="006D4F1B" w:rsidP="00CE6BB0">
      <w:pPr>
        <w:jc w:val="both"/>
        <w:rPr>
          <w:b/>
          <w:sz w:val="22"/>
          <w:szCs w:val="22"/>
        </w:rPr>
      </w:pPr>
      <w:r w:rsidRPr="00E91F6E">
        <w:rPr>
          <w:b/>
          <w:sz w:val="22"/>
          <w:szCs w:val="22"/>
        </w:rPr>
        <w:t xml:space="preserve">The beginning </w:t>
      </w:r>
      <w:r w:rsidR="006C5D59" w:rsidRPr="00E91F6E">
        <w:rPr>
          <w:b/>
          <w:sz w:val="22"/>
          <w:szCs w:val="22"/>
        </w:rPr>
        <w:t xml:space="preserve">cash </w:t>
      </w:r>
      <w:r w:rsidRPr="00E91F6E">
        <w:rPr>
          <w:b/>
          <w:sz w:val="22"/>
          <w:szCs w:val="22"/>
        </w:rPr>
        <w:t>balance</w:t>
      </w:r>
      <w:r w:rsidR="006C5D59" w:rsidRPr="00E91F6E">
        <w:rPr>
          <w:b/>
          <w:sz w:val="22"/>
          <w:szCs w:val="22"/>
        </w:rPr>
        <w:t xml:space="preserve"> for each County Fund should be identical to the ending cash balance for the fund in the previous fiscal year.  For example, if the General Fund had an ending cash balance of $2</w:t>
      </w:r>
      <w:r w:rsidR="00F402B8" w:rsidRPr="00E91F6E">
        <w:rPr>
          <w:b/>
          <w:sz w:val="22"/>
          <w:szCs w:val="22"/>
        </w:rPr>
        <w:t>,</w:t>
      </w:r>
      <w:r w:rsidR="006C5D59" w:rsidRPr="00E91F6E">
        <w:rPr>
          <w:b/>
          <w:sz w:val="22"/>
          <w:szCs w:val="22"/>
        </w:rPr>
        <w:t>50</w:t>
      </w:r>
      <w:r w:rsidR="00F402B8" w:rsidRPr="00E91F6E">
        <w:rPr>
          <w:b/>
          <w:sz w:val="22"/>
          <w:szCs w:val="22"/>
        </w:rPr>
        <w:t>0,</w:t>
      </w:r>
      <w:r w:rsidR="006C5D59" w:rsidRPr="00E91F6E">
        <w:rPr>
          <w:b/>
          <w:sz w:val="22"/>
          <w:szCs w:val="22"/>
        </w:rPr>
        <w:t>000 on June 30, 2018 (the end of FY18), then the General Fund should have a beginning cash balance of $2</w:t>
      </w:r>
      <w:r w:rsidR="00F402B8" w:rsidRPr="00E91F6E">
        <w:rPr>
          <w:b/>
          <w:sz w:val="22"/>
          <w:szCs w:val="22"/>
        </w:rPr>
        <w:t>,</w:t>
      </w:r>
      <w:r w:rsidR="006C5D59" w:rsidRPr="00E91F6E">
        <w:rPr>
          <w:b/>
          <w:sz w:val="22"/>
          <w:szCs w:val="22"/>
        </w:rPr>
        <w:t>50</w:t>
      </w:r>
      <w:r w:rsidR="00F402B8" w:rsidRPr="00E91F6E">
        <w:rPr>
          <w:b/>
          <w:sz w:val="22"/>
          <w:szCs w:val="22"/>
        </w:rPr>
        <w:t>0</w:t>
      </w:r>
      <w:r w:rsidR="006C5D59" w:rsidRPr="00E91F6E">
        <w:rPr>
          <w:b/>
          <w:sz w:val="22"/>
          <w:szCs w:val="22"/>
        </w:rPr>
        <w:t>,000 on July 1, 2018 (the beginning of FY19).</w:t>
      </w:r>
    </w:p>
    <w:p w14:paraId="6E71F4FB" w14:textId="24D022AB" w:rsidR="006C5D59" w:rsidRPr="00E91F6E" w:rsidRDefault="006C5D59" w:rsidP="00CE6BB0">
      <w:pPr>
        <w:jc w:val="both"/>
        <w:rPr>
          <w:b/>
          <w:sz w:val="22"/>
          <w:szCs w:val="22"/>
        </w:rPr>
      </w:pPr>
    </w:p>
    <w:p w14:paraId="5FCEB9BC" w14:textId="5C15D2E9" w:rsidR="006C5D59" w:rsidRPr="00E91F6E" w:rsidRDefault="006C5D59" w:rsidP="00CE6BB0">
      <w:pPr>
        <w:jc w:val="both"/>
        <w:rPr>
          <w:b/>
          <w:sz w:val="22"/>
          <w:szCs w:val="22"/>
        </w:rPr>
      </w:pPr>
      <w:r w:rsidRPr="00E91F6E">
        <w:rPr>
          <w:b/>
          <w:sz w:val="22"/>
          <w:szCs w:val="22"/>
        </w:rPr>
        <w:t xml:space="preserve">In some rare instances a fund may be restated from the prior fiscal year due to a reclassification of a fund type (County Fund or Trust and Agency Fund) or the correction of an error.  In this rare instance the beginning cash balance of a County Fund in the fiscal year reported will not be identical to the ending cash balance in the previous fiscal year.  The restatement will also be noted on </w:t>
      </w:r>
      <w:r w:rsidR="00F402B8" w:rsidRPr="00E91F6E">
        <w:rPr>
          <w:b/>
          <w:sz w:val="22"/>
          <w:szCs w:val="22"/>
        </w:rPr>
        <w:t>the last page</w:t>
      </w:r>
      <w:r w:rsidRPr="00E91F6E">
        <w:rPr>
          <w:b/>
          <w:sz w:val="22"/>
          <w:szCs w:val="22"/>
        </w:rPr>
        <w:t>, at the disclosure J. Restatement of Fund Balance.</w:t>
      </w:r>
    </w:p>
    <w:p w14:paraId="278240B9" w14:textId="5FEC488F" w:rsidR="006C5D59" w:rsidRPr="00E91F6E" w:rsidRDefault="006C5D59" w:rsidP="00CE6BB0">
      <w:pPr>
        <w:jc w:val="both"/>
        <w:rPr>
          <w:b/>
          <w:sz w:val="22"/>
          <w:szCs w:val="22"/>
        </w:rPr>
      </w:pPr>
    </w:p>
    <w:p w14:paraId="6A7EC36C" w14:textId="546DCA43" w:rsidR="006C5D59" w:rsidRPr="00E91F6E" w:rsidRDefault="006C5D59" w:rsidP="00CE6BB0">
      <w:pPr>
        <w:jc w:val="both"/>
        <w:rPr>
          <w:b/>
          <w:sz w:val="22"/>
          <w:szCs w:val="22"/>
        </w:rPr>
      </w:pPr>
      <w:r w:rsidRPr="00E91F6E">
        <w:rPr>
          <w:b/>
          <w:sz w:val="22"/>
          <w:szCs w:val="22"/>
        </w:rPr>
        <w:t xml:space="preserve">The ending cash balance for each County Fund is the beginning cash balance in addition to receipts apportioned and transfers in, less disbursements and transfers out.  The financial statement template on page </w:t>
      </w:r>
      <w:r w:rsidR="00D9668C" w:rsidRPr="00E91F6E">
        <w:rPr>
          <w:b/>
          <w:sz w:val="22"/>
          <w:szCs w:val="22"/>
        </w:rPr>
        <w:t>7</w:t>
      </w:r>
      <w:r w:rsidRPr="00E91F6E">
        <w:rPr>
          <w:b/>
          <w:sz w:val="22"/>
          <w:szCs w:val="22"/>
        </w:rPr>
        <w:t xml:space="preserve"> will automatically calculate the ending cash balance as the other information for the fund is entered.</w:t>
      </w:r>
      <w:r w:rsidR="00532809" w:rsidRPr="00E91F6E">
        <w:rPr>
          <w:b/>
          <w:sz w:val="22"/>
          <w:szCs w:val="22"/>
        </w:rPr>
        <w:t xml:space="preserve">  </w:t>
      </w:r>
      <w:r w:rsidR="00A365C3" w:rsidRPr="00E91F6E">
        <w:rPr>
          <w:b/>
          <w:sz w:val="22"/>
          <w:szCs w:val="22"/>
        </w:rPr>
        <w:t>However, the ending cash balance should be identical to the County Fund’s ending balance on the General Ledger.</w:t>
      </w:r>
    </w:p>
    <w:p w14:paraId="1D61B205" w14:textId="37AC2D98" w:rsidR="00532809" w:rsidRPr="00E91F6E" w:rsidRDefault="00532809" w:rsidP="00A603DA">
      <w:pPr>
        <w:widowControl/>
        <w:jc w:val="both"/>
        <w:rPr>
          <w:b/>
          <w:sz w:val="22"/>
          <w:szCs w:val="22"/>
        </w:rPr>
      </w:pPr>
    </w:p>
    <w:p w14:paraId="635E0273" w14:textId="77777777" w:rsidR="00A6448E" w:rsidRPr="00E91F6E" w:rsidRDefault="00A6448E" w:rsidP="00A603DA">
      <w:pPr>
        <w:widowControl/>
        <w:jc w:val="both"/>
        <w:rPr>
          <w:b/>
          <w:sz w:val="22"/>
          <w:szCs w:val="22"/>
        </w:rPr>
      </w:pPr>
    </w:p>
    <w:p w14:paraId="55C1BEE7" w14:textId="556E8F23" w:rsidR="00CE6BB0" w:rsidRPr="00E91F6E" w:rsidRDefault="00CE6BB0" w:rsidP="00CE6BB0">
      <w:pPr>
        <w:widowControl/>
        <w:jc w:val="center"/>
        <w:rPr>
          <w:b/>
          <w:sz w:val="32"/>
          <w:szCs w:val="32"/>
          <w:highlight w:val="green"/>
        </w:rPr>
      </w:pPr>
      <w:r w:rsidRPr="00E91F6E">
        <w:rPr>
          <w:b/>
          <w:sz w:val="32"/>
          <w:szCs w:val="32"/>
          <w:highlight w:val="green"/>
        </w:rPr>
        <w:t>STEP 4: RECEIPTS APPORTIONED</w:t>
      </w:r>
    </w:p>
    <w:p w14:paraId="5A359C80" w14:textId="50D83EFA" w:rsidR="00CE6BB0" w:rsidRPr="00E91F6E" w:rsidRDefault="00286250" w:rsidP="00CE6BB0">
      <w:pPr>
        <w:widowControl/>
        <w:jc w:val="both"/>
        <w:rPr>
          <w:b/>
          <w:sz w:val="22"/>
          <w:szCs w:val="22"/>
        </w:rPr>
      </w:pPr>
      <w:r w:rsidRPr="00E91F6E">
        <w:rPr>
          <w:b/>
          <w:sz w:val="22"/>
          <w:szCs w:val="22"/>
        </w:rPr>
        <w:t xml:space="preserve">The receipts apportioned are the total collections (sales tax, ad valorem, miscellaneous receipts, etc.) for each County Fund for the fiscal year.  This total should be taken directly from the </w:t>
      </w:r>
      <w:r w:rsidRPr="00E91F6E">
        <w:rPr>
          <w:b/>
          <w:i/>
          <w:sz w:val="22"/>
          <w:szCs w:val="22"/>
        </w:rPr>
        <w:t xml:space="preserve">fiscal </w:t>
      </w:r>
      <w:r w:rsidR="00CE76F2" w:rsidRPr="00E91F6E">
        <w:rPr>
          <w:b/>
          <w:i/>
          <w:sz w:val="22"/>
          <w:szCs w:val="22"/>
        </w:rPr>
        <w:t>year-end</w:t>
      </w:r>
      <w:r w:rsidRPr="00E91F6E">
        <w:rPr>
          <w:b/>
          <w:i/>
          <w:sz w:val="22"/>
          <w:szCs w:val="22"/>
        </w:rPr>
        <w:t xml:space="preserve"> report</w:t>
      </w:r>
      <w:r w:rsidRPr="00E91F6E">
        <w:rPr>
          <w:b/>
          <w:sz w:val="22"/>
          <w:szCs w:val="22"/>
        </w:rPr>
        <w:t xml:space="preserve"> in Step 2, unless adjustments should be made for reclassification of transfers</w:t>
      </w:r>
      <w:r w:rsidR="008339AF" w:rsidRPr="00E91F6E">
        <w:rPr>
          <w:b/>
          <w:sz w:val="22"/>
          <w:szCs w:val="22"/>
        </w:rPr>
        <w:t xml:space="preserve"> (Step 6)</w:t>
      </w:r>
      <w:r w:rsidRPr="00E91F6E">
        <w:rPr>
          <w:b/>
          <w:sz w:val="22"/>
          <w:szCs w:val="22"/>
        </w:rPr>
        <w:t>.</w:t>
      </w:r>
    </w:p>
    <w:p w14:paraId="6096E5E3" w14:textId="2890D4A3" w:rsidR="00CE6BB0" w:rsidRPr="00E91F6E" w:rsidRDefault="00CE6BB0" w:rsidP="00CE6BB0">
      <w:pPr>
        <w:widowControl/>
        <w:jc w:val="both"/>
        <w:rPr>
          <w:b/>
          <w:sz w:val="22"/>
          <w:szCs w:val="22"/>
        </w:rPr>
      </w:pPr>
    </w:p>
    <w:p w14:paraId="573A4968" w14:textId="77777777" w:rsidR="00A6448E" w:rsidRPr="00E91F6E" w:rsidRDefault="00A6448E" w:rsidP="00CE6BB0">
      <w:pPr>
        <w:widowControl/>
        <w:jc w:val="both"/>
        <w:rPr>
          <w:b/>
          <w:sz w:val="22"/>
          <w:szCs w:val="22"/>
        </w:rPr>
      </w:pPr>
    </w:p>
    <w:p w14:paraId="4334DD76" w14:textId="082327BF" w:rsidR="00CE6BB0" w:rsidRPr="00E91F6E" w:rsidRDefault="00CE6BB0" w:rsidP="00CE6BB0">
      <w:pPr>
        <w:widowControl/>
        <w:jc w:val="center"/>
        <w:rPr>
          <w:b/>
          <w:sz w:val="32"/>
          <w:szCs w:val="32"/>
          <w:highlight w:val="green"/>
        </w:rPr>
      </w:pPr>
      <w:r w:rsidRPr="00E91F6E">
        <w:rPr>
          <w:b/>
          <w:sz w:val="32"/>
          <w:szCs w:val="32"/>
          <w:highlight w:val="green"/>
        </w:rPr>
        <w:t>STEP 5: DISBURSEMENTS</w:t>
      </w:r>
    </w:p>
    <w:p w14:paraId="30D3AA31" w14:textId="61E545E5" w:rsidR="00CE6BB0" w:rsidRPr="00E91F6E" w:rsidRDefault="00286250" w:rsidP="00CE6BB0">
      <w:pPr>
        <w:widowControl/>
        <w:jc w:val="both"/>
        <w:rPr>
          <w:b/>
          <w:sz w:val="22"/>
          <w:szCs w:val="22"/>
        </w:rPr>
      </w:pPr>
      <w:r w:rsidRPr="00E91F6E">
        <w:rPr>
          <w:b/>
          <w:sz w:val="22"/>
          <w:szCs w:val="22"/>
        </w:rPr>
        <w:t xml:space="preserve">The disbursements are the total expenditures (purchase orders, </w:t>
      </w:r>
      <w:r w:rsidR="00D4635A" w:rsidRPr="00E91F6E">
        <w:rPr>
          <w:b/>
          <w:sz w:val="22"/>
          <w:szCs w:val="22"/>
        </w:rPr>
        <w:t>cash vouchers</w:t>
      </w:r>
      <w:r w:rsidRPr="00E91F6E">
        <w:rPr>
          <w:b/>
          <w:sz w:val="22"/>
          <w:szCs w:val="22"/>
        </w:rPr>
        <w:t xml:space="preserve">, etc.) for each County Fund for the fiscal year.  This total should be taken directly from the </w:t>
      </w:r>
      <w:r w:rsidRPr="00E91F6E">
        <w:rPr>
          <w:b/>
          <w:i/>
          <w:sz w:val="22"/>
          <w:szCs w:val="22"/>
        </w:rPr>
        <w:t xml:space="preserve">fiscal </w:t>
      </w:r>
      <w:r w:rsidR="00CE76F2" w:rsidRPr="00E91F6E">
        <w:rPr>
          <w:b/>
          <w:i/>
          <w:sz w:val="22"/>
          <w:szCs w:val="22"/>
        </w:rPr>
        <w:t>year-end</w:t>
      </w:r>
      <w:r w:rsidRPr="00E91F6E">
        <w:rPr>
          <w:b/>
          <w:i/>
          <w:sz w:val="22"/>
          <w:szCs w:val="22"/>
        </w:rPr>
        <w:t xml:space="preserve"> report</w:t>
      </w:r>
      <w:r w:rsidRPr="00E91F6E">
        <w:rPr>
          <w:b/>
          <w:sz w:val="22"/>
          <w:szCs w:val="22"/>
        </w:rPr>
        <w:t xml:space="preserve"> in Step 2, unless adjustments should be made for reclassification of transfers</w:t>
      </w:r>
      <w:r w:rsidR="008339AF" w:rsidRPr="00E91F6E">
        <w:rPr>
          <w:b/>
          <w:sz w:val="22"/>
          <w:szCs w:val="22"/>
        </w:rPr>
        <w:t xml:space="preserve"> (Step 6)</w:t>
      </w:r>
      <w:r w:rsidRPr="00E91F6E">
        <w:rPr>
          <w:b/>
          <w:sz w:val="22"/>
          <w:szCs w:val="22"/>
        </w:rPr>
        <w:t>.</w:t>
      </w:r>
    </w:p>
    <w:p w14:paraId="347D61C9" w14:textId="721EEC9A" w:rsidR="00CE6BB0" w:rsidRPr="00E91F6E" w:rsidRDefault="00CE6BB0" w:rsidP="00CE6BB0">
      <w:pPr>
        <w:widowControl/>
        <w:jc w:val="both"/>
        <w:rPr>
          <w:b/>
          <w:sz w:val="22"/>
          <w:szCs w:val="22"/>
        </w:rPr>
      </w:pPr>
    </w:p>
    <w:p w14:paraId="2767B746" w14:textId="77777777" w:rsidR="00A6448E" w:rsidRPr="00E91F6E" w:rsidRDefault="00A6448E" w:rsidP="00CE6BB0">
      <w:pPr>
        <w:widowControl/>
        <w:jc w:val="both"/>
        <w:rPr>
          <w:b/>
          <w:sz w:val="22"/>
          <w:szCs w:val="22"/>
        </w:rPr>
      </w:pPr>
    </w:p>
    <w:p w14:paraId="3629E58B" w14:textId="46E55B61" w:rsidR="00CE6BB0" w:rsidRPr="00E91F6E" w:rsidRDefault="00CE6BB0" w:rsidP="00CE6BB0">
      <w:pPr>
        <w:widowControl/>
        <w:jc w:val="center"/>
        <w:rPr>
          <w:b/>
          <w:sz w:val="32"/>
          <w:szCs w:val="32"/>
          <w:highlight w:val="green"/>
        </w:rPr>
      </w:pPr>
      <w:r w:rsidRPr="00E91F6E">
        <w:rPr>
          <w:b/>
          <w:sz w:val="32"/>
          <w:szCs w:val="32"/>
          <w:highlight w:val="green"/>
        </w:rPr>
        <w:t>STEP 6: TRANSFERS IN AND OUT</w:t>
      </w:r>
    </w:p>
    <w:p w14:paraId="7F889786" w14:textId="68ABCDD8" w:rsidR="00CE6BB0" w:rsidRPr="00E91F6E" w:rsidRDefault="00A365C3" w:rsidP="00CE6BB0">
      <w:pPr>
        <w:widowControl/>
        <w:jc w:val="both"/>
        <w:rPr>
          <w:b/>
          <w:sz w:val="22"/>
          <w:szCs w:val="22"/>
        </w:rPr>
      </w:pPr>
      <w:r w:rsidRPr="00E91F6E">
        <w:rPr>
          <w:b/>
          <w:sz w:val="22"/>
          <w:szCs w:val="22"/>
        </w:rPr>
        <w:t xml:space="preserve">If there are no adjustments to be made, transfers in and out should be taken directly from the </w:t>
      </w:r>
      <w:r w:rsidRPr="00E91F6E">
        <w:rPr>
          <w:b/>
          <w:i/>
          <w:sz w:val="22"/>
          <w:szCs w:val="22"/>
        </w:rPr>
        <w:t xml:space="preserve">fiscal </w:t>
      </w:r>
      <w:r w:rsidR="00CE76F2" w:rsidRPr="00E91F6E">
        <w:rPr>
          <w:b/>
          <w:i/>
          <w:sz w:val="22"/>
          <w:szCs w:val="22"/>
        </w:rPr>
        <w:t>year-end</w:t>
      </w:r>
      <w:r w:rsidRPr="00E91F6E">
        <w:rPr>
          <w:b/>
          <w:i/>
          <w:sz w:val="22"/>
          <w:szCs w:val="22"/>
        </w:rPr>
        <w:t xml:space="preserve"> report </w:t>
      </w:r>
      <w:r w:rsidRPr="00E91F6E">
        <w:rPr>
          <w:b/>
          <w:sz w:val="22"/>
          <w:szCs w:val="22"/>
        </w:rPr>
        <w:t xml:space="preserve">in Step 2 for each County Fund for the fiscal year.  However, adjustments are frequently required to report only true transfers.  The following schedule distinguishes between true transfers (that should be reported in the Transfers In and Transfers Out columns in the financial statement) and other transactions (that should be </w:t>
      </w:r>
      <w:r w:rsidR="00D4635A" w:rsidRPr="00E91F6E">
        <w:rPr>
          <w:b/>
          <w:sz w:val="22"/>
          <w:szCs w:val="22"/>
        </w:rPr>
        <w:t xml:space="preserve">accounted for in </w:t>
      </w:r>
      <w:r w:rsidRPr="00E91F6E">
        <w:rPr>
          <w:b/>
          <w:sz w:val="22"/>
          <w:szCs w:val="22"/>
        </w:rPr>
        <w:t xml:space="preserve">the receipts apportioned and </w:t>
      </w:r>
      <w:r w:rsidRPr="00E91F6E">
        <w:rPr>
          <w:b/>
          <w:sz w:val="22"/>
          <w:szCs w:val="22"/>
        </w:rPr>
        <w:lastRenderedPageBreak/>
        <w:t>disbursements colu</w:t>
      </w:r>
      <w:r w:rsidR="00D859DC" w:rsidRPr="00E91F6E">
        <w:rPr>
          <w:b/>
          <w:sz w:val="22"/>
          <w:szCs w:val="22"/>
        </w:rPr>
        <w:t xml:space="preserve">mns in the financial statement).  If adjustments are required, the </w:t>
      </w:r>
      <w:r w:rsidR="00D859DC" w:rsidRPr="00E91F6E">
        <w:rPr>
          <w:b/>
          <w:i/>
          <w:sz w:val="22"/>
          <w:szCs w:val="22"/>
        </w:rPr>
        <w:t>Cash to Cash</w:t>
      </w:r>
      <w:r w:rsidR="00D859DC" w:rsidRPr="00E91F6E">
        <w:rPr>
          <w:b/>
          <w:sz w:val="22"/>
          <w:szCs w:val="22"/>
        </w:rPr>
        <w:t xml:space="preserve"> template noted in Step 2 ma</w:t>
      </w:r>
      <w:r w:rsidR="00D4635A" w:rsidRPr="00E91F6E">
        <w:rPr>
          <w:b/>
          <w:sz w:val="22"/>
          <w:szCs w:val="22"/>
        </w:rPr>
        <w:t>y be</w:t>
      </w:r>
      <w:r w:rsidR="00D859DC" w:rsidRPr="00E91F6E">
        <w:rPr>
          <w:b/>
          <w:sz w:val="22"/>
          <w:szCs w:val="22"/>
        </w:rPr>
        <w:t xml:space="preserve"> helpful</w:t>
      </w:r>
      <w:r w:rsidR="00D4635A" w:rsidRPr="00E91F6E">
        <w:rPr>
          <w:b/>
          <w:sz w:val="22"/>
          <w:szCs w:val="22"/>
        </w:rPr>
        <w:t xml:space="preserve"> in determining which adjustments to make</w:t>
      </w:r>
      <w:r w:rsidR="00D859DC" w:rsidRPr="00E91F6E">
        <w:rPr>
          <w:b/>
          <w:sz w:val="22"/>
          <w:szCs w:val="22"/>
        </w:rPr>
        <w:t>.</w:t>
      </w:r>
    </w:p>
    <w:p w14:paraId="336F21AB" w14:textId="161467E9" w:rsidR="00A365C3" w:rsidRPr="00E91F6E" w:rsidRDefault="00A365C3" w:rsidP="00CE6BB0">
      <w:pPr>
        <w:widowControl/>
        <w:jc w:val="both"/>
        <w:rPr>
          <w:b/>
          <w:sz w:val="22"/>
          <w:szCs w:val="22"/>
        </w:rPr>
      </w:pPr>
    </w:p>
    <w:tbl>
      <w:tblPr>
        <w:tblStyle w:val="TableGrid"/>
        <w:tblW w:w="9355" w:type="dxa"/>
        <w:tblLook w:val="04A0" w:firstRow="1" w:lastRow="0" w:firstColumn="1" w:lastColumn="0" w:noHBand="0" w:noVBand="1"/>
      </w:tblPr>
      <w:tblGrid>
        <w:gridCol w:w="2245"/>
        <w:gridCol w:w="5940"/>
        <w:gridCol w:w="1170"/>
      </w:tblGrid>
      <w:tr w:rsidR="00CB3A0C" w:rsidRPr="00E91F6E" w14:paraId="6B48F9B7" w14:textId="77777777" w:rsidTr="003E55B6">
        <w:tc>
          <w:tcPr>
            <w:tcW w:w="2245" w:type="dxa"/>
            <w:tcBorders>
              <w:bottom w:val="single" w:sz="4" w:space="0" w:color="auto"/>
            </w:tcBorders>
            <w:shd w:val="clear" w:color="auto" w:fill="000000" w:themeFill="text1"/>
            <w:vAlign w:val="center"/>
          </w:tcPr>
          <w:p w14:paraId="2D445C49" w14:textId="71DD2250" w:rsidR="00CB3A0C" w:rsidRPr="00E91F6E" w:rsidRDefault="00DC53D6" w:rsidP="002646E0">
            <w:pPr>
              <w:widowControl/>
              <w:jc w:val="center"/>
              <w:rPr>
                <w:b/>
                <w:sz w:val="28"/>
                <w:szCs w:val="28"/>
              </w:rPr>
            </w:pPr>
            <w:r w:rsidRPr="00E91F6E">
              <w:rPr>
                <w:b/>
                <w:sz w:val="28"/>
                <w:szCs w:val="28"/>
              </w:rPr>
              <w:t>Transaction</w:t>
            </w:r>
          </w:p>
        </w:tc>
        <w:tc>
          <w:tcPr>
            <w:tcW w:w="5940" w:type="dxa"/>
            <w:tcBorders>
              <w:bottom w:val="single" w:sz="4" w:space="0" w:color="auto"/>
            </w:tcBorders>
            <w:shd w:val="clear" w:color="auto" w:fill="000000" w:themeFill="text1"/>
            <w:vAlign w:val="center"/>
          </w:tcPr>
          <w:p w14:paraId="329538AF" w14:textId="46D85982" w:rsidR="00CB3A0C" w:rsidRPr="00E91F6E" w:rsidRDefault="00DC53D6" w:rsidP="002646E0">
            <w:pPr>
              <w:widowControl/>
              <w:jc w:val="center"/>
              <w:rPr>
                <w:b/>
                <w:sz w:val="28"/>
                <w:szCs w:val="28"/>
              </w:rPr>
            </w:pPr>
            <w:r w:rsidRPr="00E91F6E">
              <w:rPr>
                <w:b/>
                <w:sz w:val="28"/>
                <w:szCs w:val="28"/>
              </w:rPr>
              <w:t>Description of the Transactions</w:t>
            </w:r>
          </w:p>
        </w:tc>
        <w:tc>
          <w:tcPr>
            <w:tcW w:w="1170" w:type="dxa"/>
            <w:tcBorders>
              <w:bottom w:val="single" w:sz="4" w:space="0" w:color="auto"/>
            </w:tcBorders>
            <w:shd w:val="clear" w:color="auto" w:fill="000000" w:themeFill="text1"/>
            <w:vAlign w:val="center"/>
          </w:tcPr>
          <w:p w14:paraId="21AC5516" w14:textId="3907F0C8" w:rsidR="00CB3A0C" w:rsidRPr="00E91F6E" w:rsidRDefault="00DC53D6" w:rsidP="002646E0">
            <w:pPr>
              <w:widowControl/>
              <w:jc w:val="center"/>
              <w:rPr>
                <w:b/>
                <w:sz w:val="22"/>
                <w:szCs w:val="22"/>
              </w:rPr>
            </w:pPr>
            <w:r w:rsidRPr="00E91F6E">
              <w:rPr>
                <w:b/>
                <w:sz w:val="22"/>
                <w:szCs w:val="22"/>
              </w:rPr>
              <w:t>Is this a transfer?</w:t>
            </w:r>
          </w:p>
        </w:tc>
      </w:tr>
      <w:tr w:rsidR="00CB3A0C" w:rsidRPr="00E91F6E" w14:paraId="3C25C5E9" w14:textId="77777777" w:rsidTr="003E55B6">
        <w:tc>
          <w:tcPr>
            <w:tcW w:w="2245" w:type="dxa"/>
            <w:shd w:val="clear" w:color="auto" w:fill="A6A6A6" w:themeFill="background1" w:themeFillShade="A6"/>
            <w:vAlign w:val="center"/>
          </w:tcPr>
          <w:p w14:paraId="69A0E1AE" w14:textId="24416A12" w:rsidR="00CB3A0C" w:rsidRPr="00E91F6E" w:rsidRDefault="002646E0" w:rsidP="00CE6BB0">
            <w:pPr>
              <w:widowControl/>
              <w:jc w:val="both"/>
              <w:rPr>
                <w:b/>
                <w:sz w:val="22"/>
                <w:szCs w:val="22"/>
              </w:rPr>
            </w:pPr>
            <w:r w:rsidRPr="00E91F6E">
              <w:rPr>
                <w:b/>
                <w:sz w:val="22"/>
                <w:szCs w:val="22"/>
              </w:rPr>
              <w:t>Correction of an error</w:t>
            </w:r>
          </w:p>
        </w:tc>
        <w:tc>
          <w:tcPr>
            <w:tcW w:w="5940" w:type="dxa"/>
            <w:shd w:val="clear" w:color="auto" w:fill="D9D9D9" w:themeFill="background1" w:themeFillShade="D9"/>
          </w:tcPr>
          <w:p w14:paraId="5BFEC852" w14:textId="4691C1CD" w:rsidR="00CB3A0C" w:rsidRPr="00E91F6E" w:rsidRDefault="00EB49A3" w:rsidP="003E55B6">
            <w:pPr>
              <w:widowControl/>
              <w:spacing w:before="120" w:after="120"/>
              <w:jc w:val="both"/>
              <w:rPr>
                <w:b/>
                <w:sz w:val="22"/>
                <w:szCs w:val="22"/>
              </w:rPr>
            </w:pPr>
            <w:r w:rsidRPr="00E91F6E">
              <w:rPr>
                <w:b/>
                <w:sz w:val="22"/>
                <w:szCs w:val="22"/>
              </w:rPr>
              <w:t xml:space="preserve">Any </w:t>
            </w:r>
            <w:r w:rsidR="00D859DC" w:rsidRPr="00E91F6E">
              <w:rPr>
                <w:b/>
                <w:sz w:val="22"/>
                <w:szCs w:val="22"/>
              </w:rPr>
              <w:t>correction</w:t>
            </w:r>
            <w:r w:rsidRPr="00E91F6E">
              <w:rPr>
                <w:b/>
                <w:sz w:val="22"/>
                <w:szCs w:val="22"/>
              </w:rPr>
              <w:t xml:space="preserve"> of an error is not a transfer and should be recorded as an apportionment or disbursement.</w:t>
            </w:r>
          </w:p>
        </w:tc>
        <w:tc>
          <w:tcPr>
            <w:tcW w:w="1170" w:type="dxa"/>
            <w:shd w:val="clear" w:color="auto" w:fill="A6A6A6" w:themeFill="background1" w:themeFillShade="A6"/>
            <w:vAlign w:val="center"/>
          </w:tcPr>
          <w:p w14:paraId="5857D225" w14:textId="20743D77" w:rsidR="00CB3A0C" w:rsidRPr="00E91F6E" w:rsidRDefault="002646E0" w:rsidP="002646E0">
            <w:pPr>
              <w:widowControl/>
              <w:jc w:val="center"/>
              <w:rPr>
                <w:b/>
                <w:sz w:val="22"/>
                <w:szCs w:val="22"/>
              </w:rPr>
            </w:pPr>
            <w:r w:rsidRPr="00E91F6E">
              <w:rPr>
                <w:b/>
                <w:sz w:val="22"/>
                <w:szCs w:val="22"/>
              </w:rPr>
              <w:t>NO</w:t>
            </w:r>
          </w:p>
        </w:tc>
      </w:tr>
      <w:tr w:rsidR="00CB3A0C" w:rsidRPr="00E91F6E" w14:paraId="035C71EB" w14:textId="77777777" w:rsidTr="003E55B6">
        <w:tc>
          <w:tcPr>
            <w:tcW w:w="2245" w:type="dxa"/>
            <w:shd w:val="clear" w:color="auto" w:fill="A6A6A6" w:themeFill="background1" w:themeFillShade="A6"/>
            <w:vAlign w:val="center"/>
          </w:tcPr>
          <w:p w14:paraId="5448F941" w14:textId="6A4C9CB6" w:rsidR="00CB3A0C" w:rsidRPr="00E91F6E" w:rsidRDefault="003E55B6" w:rsidP="00CE6BB0">
            <w:pPr>
              <w:widowControl/>
              <w:jc w:val="both"/>
              <w:rPr>
                <w:b/>
                <w:sz w:val="22"/>
                <w:szCs w:val="22"/>
              </w:rPr>
            </w:pPr>
            <w:r w:rsidRPr="00E91F6E">
              <w:rPr>
                <w:b/>
                <w:sz w:val="22"/>
                <w:szCs w:val="22"/>
              </w:rPr>
              <w:t>Operational Transfer</w:t>
            </w:r>
          </w:p>
          <w:p w14:paraId="102647C6" w14:textId="0E8F050A" w:rsidR="002646E0" w:rsidRPr="00E91F6E" w:rsidRDefault="002646E0" w:rsidP="00CE6BB0">
            <w:pPr>
              <w:widowControl/>
              <w:jc w:val="both"/>
              <w:rPr>
                <w:b/>
                <w:sz w:val="22"/>
                <w:szCs w:val="22"/>
              </w:rPr>
            </w:pPr>
            <w:r w:rsidRPr="00E91F6E">
              <w:rPr>
                <w:b/>
                <w:sz w:val="22"/>
                <w:szCs w:val="22"/>
              </w:rPr>
              <w:t>68 O.S. § 3021</w:t>
            </w:r>
          </w:p>
        </w:tc>
        <w:tc>
          <w:tcPr>
            <w:tcW w:w="5940" w:type="dxa"/>
            <w:shd w:val="clear" w:color="auto" w:fill="D9D9D9" w:themeFill="background1" w:themeFillShade="D9"/>
          </w:tcPr>
          <w:p w14:paraId="279C3F63" w14:textId="503BCCA8" w:rsidR="00CB3A0C" w:rsidRPr="00E91F6E" w:rsidRDefault="002646E0" w:rsidP="003E55B6">
            <w:pPr>
              <w:widowControl/>
              <w:spacing w:before="120" w:after="120"/>
              <w:jc w:val="both"/>
              <w:rPr>
                <w:b/>
                <w:sz w:val="22"/>
                <w:szCs w:val="22"/>
              </w:rPr>
            </w:pPr>
            <w:r w:rsidRPr="00E91F6E">
              <w:rPr>
                <w:b/>
                <w:sz w:val="22"/>
                <w:szCs w:val="22"/>
              </w:rPr>
              <w:t>Money loaned from one fund to another.  The transfer must be documented on detailed transfer documents and approved by the BOCC and the loan must be repaid by the end of the fiscal year (unless the County is a budget board county.</w:t>
            </w:r>
          </w:p>
        </w:tc>
        <w:tc>
          <w:tcPr>
            <w:tcW w:w="1170" w:type="dxa"/>
            <w:shd w:val="clear" w:color="auto" w:fill="A6A6A6" w:themeFill="background1" w:themeFillShade="A6"/>
            <w:vAlign w:val="center"/>
          </w:tcPr>
          <w:p w14:paraId="3038853E" w14:textId="042F13B2" w:rsidR="00CB3A0C" w:rsidRPr="00E91F6E" w:rsidRDefault="002646E0" w:rsidP="002646E0">
            <w:pPr>
              <w:widowControl/>
              <w:jc w:val="center"/>
              <w:rPr>
                <w:b/>
                <w:sz w:val="22"/>
                <w:szCs w:val="22"/>
              </w:rPr>
            </w:pPr>
            <w:r w:rsidRPr="00E91F6E">
              <w:rPr>
                <w:b/>
                <w:sz w:val="22"/>
                <w:szCs w:val="22"/>
              </w:rPr>
              <w:t>YES</w:t>
            </w:r>
          </w:p>
        </w:tc>
      </w:tr>
      <w:tr w:rsidR="00CB3A0C" w:rsidRPr="00E91F6E" w14:paraId="7341D7A6" w14:textId="77777777" w:rsidTr="003E55B6">
        <w:tc>
          <w:tcPr>
            <w:tcW w:w="2245" w:type="dxa"/>
            <w:shd w:val="clear" w:color="auto" w:fill="A6A6A6" w:themeFill="background1" w:themeFillShade="A6"/>
            <w:vAlign w:val="center"/>
          </w:tcPr>
          <w:p w14:paraId="0C8B0869" w14:textId="58CACF7E" w:rsidR="00CB3A0C" w:rsidRPr="00E91F6E" w:rsidRDefault="003E55B6" w:rsidP="00CE6BB0">
            <w:pPr>
              <w:widowControl/>
              <w:jc w:val="both"/>
              <w:rPr>
                <w:b/>
                <w:sz w:val="22"/>
                <w:szCs w:val="22"/>
              </w:rPr>
            </w:pPr>
            <w:r w:rsidRPr="00E91F6E">
              <w:rPr>
                <w:b/>
                <w:sz w:val="22"/>
                <w:szCs w:val="22"/>
              </w:rPr>
              <w:t>Residual Transfer</w:t>
            </w:r>
            <w:r w:rsidR="002646E0" w:rsidRPr="00E91F6E">
              <w:rPr>
                <w:b/>
                <w:sz w:val="22"/>
                <w:szCs w:val="22"/>
              </w:rPr>
              <w:t xml:space="preserve"> (Statutory)</w:t>
            </w:r>
          </w:p>
        </w:tc>
        <w:tc>
          <w:tcPr>
            <w:tcW w:w="5940" w:type="dxa"/>
            <w:shd w:val="clear" w:color="auto" w:fill="D9D9D9" w:themeFill="background1" w:themeFillShade="D9"/>
          </w:tcPr>
          <w:p w14:paraId="4CCE54EC" w14:textId="3F854142" w:rsidR="00CB3A0C" w:rsidRPr="00E91F6E" w:rsidRDefault="002646E0" w:rsidP="003E55B6">
            <w:pPr>
              <w:widowControl/>
              <w:spacing w:before="120" w:after="120"/>
              <w:jc w:val="both"/>
              <w:rPr>
                <w:b/>
                <w:sz w:val="22"/>
                <w:szCs w:val="22"/>
              </w:rPr>
            </w:pPr>
            <w:r w:rsidRPr="00E91F6E">
              <w:rPr>
                <w:b/>
                <w:sz w:val="22"/>
                <w:szCs w:val="22"/>
              </w:rPr>
              <w:t>Additional funding that must be temporarily placed in a fund.  For example, for Sinking Fund to General Fund or Excess Resale to Resale.</w:t>
            </w:r>
          </w:p>
        </w:tc>
        <w:tc>
          <w:tcPr>
            <w:tcW w:w="1170" w:type="dxa"/>
            <w:shd w:val="clear" w:color="auto" w:fill="A6A6A6" w:themeFill="background1" w:themeFillShade="A6"/>
            <w:vAlign w:val="center"/>
          </w:tcPr>
          <w:p w14:paraId="229CC517" w14:textId="192BA89F" w:rsidR="00CB3A0C" w:rsidRPr="00E91F6E" w:rsidRDefault="002646E0" w:rsidP="002646E0">
            <w:pPr>
              <w:widowControl/>
              <w:jc w:val="center"/>
              <w:rPr>
                <w:b/>
                <w:sz w:val="22"/>
                <w:szCs w:val="22"/>
              </w:rPr>
            </w:pPr>
            <w:r w:rsidRPr="00E91F6E">
              <w:rPr>
                <w:b/>
                <w:sz w:val="22"/>
                <w:szCs w:val="22"/>
              </w:rPr>
              <w:t>YES</w:t>
            </w:r>
          </w:p>
        </w:tc>
      </w:tr>
      <w:tr w:rsidR="00CB3A0C" w:rsidRPr="00E91F6E" w14:paraId="3DDAC137" w14:textId="77777777" w:rsidTr="003E55B6">
        <w:tc>
          <w:tcPr>
            <w:tcW w:w="2245" w:type="dxa"/>
            <w:shd w:val="clear" w:color="auto" w:fill="A6A6A6" w:themeFill="background1" w:themeFillShade="A6"/>
            <w:vAlign w:val="center"/>
          </w:tcPr>
          <w:p w14:paraId="3FFAE268" w14:textId="0DEA354E" w:rsidR="00CB3A0C" w:rsidRPr="00E91F6E" w:rsidRDefault="003E55B6" w:rsidP="00CE6BB0">
            <w:pPr>
              <w:widowControl/>
              <w:jc w:val="both"/>
              <w:rPr>
                <w:b/>
                <w:sz w:val="22"/>
                <w:szCs w:val="22"/>
              </w:rPr>
            </w:pPr>
            <w:r w:rsidRPr="00E91F6E">
              <w:rPr>
                <w:b/>
                <w:sz w:val="22"/>
                <w:szCs w:val="22"/>
              </w:rPr>
              <w:t>Residual Transfer</w:t>
            </w:r>
            <w:r w:rsidR="002646E0" w:rsidRPr="00E91F6E">
              <w:rPr>
                <w:b/>
                <w:sz w:val="22"/>
                <w:szCs w:val="22"/>
              </w:rPr>
              <w:t xml:space="preserve"> (Non-Statutory)</w:t>
            </w:r>
          </w:p>
        </w:tc>
        <w:tc>
          <w:tcPr>
            <w:tcW w:w="5940" w:type="dxa"/>
            <w:shd w:val="clear" w:color="auto" w:fill="D9D9D9" w:themeFill="background1" w:themeFillShade="D9"/>
          </w:tcPr>
          <w:p w14:paraId="16CC873A" w14:textId="4A32D3EF" w:rsidR="00CB3A0C" w:rsidRPr="00E91F6E" w:rsidRDefault="002646E0" w:rsidP="003E55B6">
            <w:pPr>
              <w:widowControl/>
              <w:spacing w:before="120" w:after="120"/>
              <w:jc w:val="both"/>
              <w:rPr>
                <w:b/>
                <w:sz w:val="22"/>
                <w:szCs w:val="22"/>
              </w:rPr>
            </w:pPr>
            <w:r w:rsidRPr="00E91F6E">
              <w:rPr>
                <w:b/>
                <w:sz w:val="22"/>
                <w:szCs w:val="22"/>
              </w:rPr>
              <w:t>Transferring monies out of a dormant fund to close the fund.</w:t>
            </w:r>
          </w:p>
        </w:tc>
        <w:tc>
          <w:tcPr>
            <w:tcW w:w="1170" w:type="dxa"/>
            <w:shd w:val="clear" w:color="auto" w:fill="A6A6A6" w:themeFill="background1" w:themeFillShade="A6"/>
            <w:vAlign w:val="center"/>
          </w:tcPr>
          <w:p w14:paraId="3F6C6E93" w14:textId="37CE0493" w:rsidR="00CB3A0C" w:rsidRPr="00E91F6E" w:rsidRDefault="002646E0" w:rsidP="002646E0">
            <w:pPr>
              <w:widowControl/>
              <w:jc w:val="center"/>
              <w:rPr>
                <w:b/>
                <w:sz w:val="22"/>
                <w:szCs w:val="22"/>
              </w:rPr>
            </w:pPr>
            <w:r w:rsidRPr="00E91F6E">
              <w:rPr>
                <w:b/>
                <w:sz w:val="22"/>
                <w:szCs w:val="22"/>
              </w:rPr>
              <w:t>YES</w:t>
            </w:r>
          </w:p>
        </w:tc>
      </w:tr>
      <w:tr w:rsidR="002646E0" w:rsidRPr="00E91F6E" w14:paraId="3167A653" w14:textId="77777777" w:rsidTr="003E55B6">
        <w:tc>
          <w:tcPr>
            <w:tcW w:w="2245" w:type="dxa"/>
            <w:shd w:val="clear" w:color="auto" w:fill="A6A6A6" w:themeFill="background1" w:themeFillShade="A6"/>
            <w:vAlign w:val="center"/>
          </w:tcPr>
          <w:p w14:paraId="4A7D5471" w14:textId="57B6E93D" w:rsidR="002646E0" w:rsidRPr="00E91F6E" w:rsidRDefault="00855444" w:rsidP="00C62F73">
            <w:pPr>
              <w:widowControl/>
              <w:jc w:val="both"/>
              <w:rPr>
                <w:b/>
                <w:sz w:val="22"/>
                <w:szCs w:val="22"/>
              </w:rPr>
            </w:pPr>
            <w:r w:rsidRPr="00E91F6E">
              <w:rPr>
                <w:b/>
                <w:sz w:val="22"/>
                <w:szCs w:val="22"/>
              </w:rPr>
              <w:t>County Bridge and Road Improvement (CBRI)</w:t>
            </w:r>
          </w:p>
        </w:tc>
        <w:tc>
          <w:tcPr>
            <w:tcW w:w="5940" w:type="dxa"/>
            <w:shd w:val="clear" w:color="auto" w:fill="D9D9D9" w:themeFill="background1" w:themeFillShade="D9"/>
          </w:tcPr>
          <w:p w14:paraId="451D4300" w14:textId="222BAA66" w:rsidR="002646E0" w:rsidRPr="00E91F6E" w:rsidRDefault="00855444" w:rsidP="003E55B6">
            <w:pPr>
              <w:widowControl/>
              <w:spacing w:before="120" w:after="120"/>
              <w:jc w:val="both"/>
              <w:rPr>
                <w:b/>
                <w:sz w:val="22"/>
                <w:szCs w:val="22"/>
              </w:rPr>
            </w:pPr>
            <w:r w:rsidRPr="00E91F6E">
              <w:rPr>
                <w:b/>
                <w:sz w:val="22"/>
                <w:szCs w:val="22"/>
              </w:rPr>
              <w:t xml:space="preserve">Monies obtained from the State CBRI </w:t>
            </w:r>
            <w:r w:rsidR="002646E0" w:rsidRPr="00E91F6E">
              <w:rPr>
                <w:b/>
                <w:sz w:val="22"/>
                <w:szCs w:val="22"/>
              </w:rPr>
              <w:t xml:space="preserve">are </w:t>
            </w:r>
            <w:r w:rsidR="00D859DC" w:rsidRPr="00E91F6E">
              <w:rPr>
                <w:b/>
                <w:sz w:val="22"/>
                <w:szCs w:val="22"/>
              </w:rPr>
              <w:t xml:space="preserve">initially held in </w:t>
            </w:r>
            <w:r w:rsidR="002646E0" w:rsidRPr="00E91F6E">
              <w:rPr>
                <w:b/>
                <w:sz w:val="22"/>
                <w:szCs w:val="22"/>
              </w:rPr>
              <w:t xml:space="preserve">the CBRI </w:t>
            </w:r>
            <w:r w:rsidRPr="00E91F6E">
              <w:rPr>
                <w:b/>
                <w:sz w:val="22"/>
                <w:szCs w:val="22"/>
              </w:rPr>
              <w:t>F</w:t>
            </w:r>
            <w:r w:rsidR="002646E0" w:rsidRPr="00E91F6E">
              <w:rPr>
                <w:b/>
                <w:sz w:val="22"/>
                <w:szCs w:val="22"/>
              </w:rPr>
              <w:t xml:space="preserve">und </w:t>
            </w:r>
            <w:r w:rsidR="00D859DC" w:rsidRPr="00E91F6E">
              <w:rPr>
                <w:b/>
                <w:sz w:val="22"/>
                <w:szCs w:val="22"/>
              </w:rPr>
              <w:t xml:space="preserve">and then transferred </w:t>
            </w:r>
            <w:r w:rsidR="002646E0" w:rsidRPr="00E91F6E">
              <w:rPr>
                <w:b/>
                <w:sz w:val="22"/>
                <w:szCs w:val="22"/>
              </w:rPr>
              <w:t xml:space="preserve">to the Highway </w:t>
            </w:r>
            <w:r w:rsidRPr="00E91F6E">
              <w:rPr>
                <w:b/>
                <w:sz w:val="22"/>
                <w:szCs w:val="22"/>
              </w:rPr>
              <w:t xml:space="preserve">Fund </w:t>
            </w:r>
            <w:r w:rsidR="00D859DC" w:rsidRPr="00E91F6E">
              <w:rPr>
                <w:b/>
                <w:sz w:val="22"/>
                <w:szCs w:val="22"/>
              </w:rPr>
              <w:t xml:space="preserve">when they are expended, </w:t>
            </w:r>
            <w:r w:rsidRPr="00E91F6E">
              <w:rPr>
                <w:b/>
                <w:sz w:val="22"/>
                <w:szCs w:val="22"/>
              </w:rPr>
              <w:t>using SAI form 237-CBRI.</w:t>
            </w:r>
          </w:p>
        </w:tc>
        <w:tc>
          <w:tcPr>
            <w:tcW w:w="1170" w:type="dxa"/>
            <w:shd w:val="clear" w:color="auto" w:fill="A6A6A6" w:themeFill="background1" w:themeFillShade="A6"/>
            <w:vAlign w:val="center"/>
          </w:tcPr>
          <w:p w14:paraId="0EA02993" w14:textId="30307389" w:rsidR="002646E0" w:rsidRPr="00E91F6E" w:rsidRDefault="00D859DC" w:rsidP="00C62F73">
            <w:pPr>
              <w:widowControl/>
              <w:jc w:val="center"/>
              <w:rPr>
                <w:b/>
                <w:sz w:val="22"/>
                <w:szCs w:val="22"/>
              </w:rPr>
            </w:pPr>
            <w:r w:rsidRPr="00E91F6E">
              <w:rPr>
                <w:b/>
                <w:sz w:val="22"/>
                <w:szCs w:val="22"/>
              </w:rPr>
              <w:t>YES</w:t>
            </w:r>
          </w:p>
        </w:tc>
      </w:tr>
      <w:tr w:rsidR="00D859DC" w:rsidRPr="00E91F6E" w14:paraId="502342EF" w14:textId="77777777" w:rsidTr="003E55B6">
        <w:tc>
          <w:tcPr>
            <w:tcW w:w="2245" w:type="dxa"/>
            <w:shd w:val="clear" w:color="auto" w:fill="A6A6A6" w:themeFill="background1" w:themeFillShade="A6"/>
            <w:vAlign w:val="center"/>
          </w:tcPr>
          <w:p w14:paraId="20E6C256" w14:textId="77777777" w:rsidR="00D859DC" w:rsidRPr="00E91F6E" w:rsidRDefault="00D859DC" w:rsidP="00C62F73">
            <w:pPr>
              <w:widowControl/>
              <w:jc w:val="both"/>
              <w:rPr>
                <w:b/>
                <w:sz w:val="22"/>
                <w:szCs w:val="22"/>
              </w:rPr>
            </w:pPr>
            <w:r w:rsidRPr="00E91F6E">
              <w:rPr>
                <w:b/>
                <w:sz w:val="22"/>
                <w:szCs w:val="22"/>
              </w:rPr>
              <w:t>Emergency Transportation Revolving Funds (ETR)</w:t>
            </w:r>
          </w:p>
        </w:tc>
        <w:tc>
          <w:tcPr>
            <w:tcW w:w="5940" w:type="dxa"/>
            <w:shd w:val="clear" w:color="auto" w:fill="D9D9D9" w:themeFill="background1" w:themeFillShade="D9"/>
          </w:tcPr>
          <w:p w14:paraId="4FBA29AB" w14:textId="77777777" w:rsidR="00D859DC" w:rsidRPr="00E91F6E" w:rsidRDefault="00D859DC" w:rsidP="003E55B6">
            <w:pPr>
              <w:widowControl/>
              <w:spacing w:before="120" w:after="120"/>
              <w:jc w:val="both"/>
              <w:rPr>
                <w:b/>
                <w:sz w:val="22"/>
                <w:szCs w:val="22"/>
              </w:rPr>
            </w:pPr>
            <w:r w:rsidRPr="00E91F6E">
              <w:rPr>
                <w:b/>
                <w:sz w:val="22"/>
                <w:szCs w:val="22"/>
              </w:rPr>
              <w:t>Circuit Engineering Districts (CED) funding is initially held in an ETR Fund (a Trust and Agency Fund) and then transferred (as a loan) to the Highway Fund when they are expended.  When the County repays loan the repayment is transferred from the Highway Fund to the ETR Fund.  Payment of the loan should be made out of the ETR Fund.</w:t>
            </w:r>
          </w:p>
        </w:tc>
        <w:tc>
          <w:tcPr>
            <w:tcW w:w="1170" w:type="dxa"/>
            <w:shd w:val="clear" w:color="auto" w:fill="A6A6A6" w:themeFill="background1" w:themeFillShade="A6"/>
            <w:vAlign w:val="center"/>
          </w:tcPr>
          <w:p w14:paraId="33DD6973" w14:textId="77777777" w:rsidR="00D859DC" w:rsidRPr="00E91F6E" w:rsidRDefault="00D859DC" w:rsidP="00C62F73">
            <w:pPr>
              <w:widowControl/>
              <w:jc w:val="center"/>
              <w:rPr>
                <w:b/>
                <w:sz w:val="22"/>
                <w:szCs w:val="22"/>
              </w:rPr>
            </w:pPr>
            <w:r w:rsidRPr="00E91F6E">
              <w:rPr>
                <w:b/>
                <w:sz w:val="22"/>
                <w:szCs w:val="22"/>
              </w:rPr>
              <w:t>YES</w:t>
            </w:r>
          </w:p>
        </w:tc>
      </w:tr>
      <w:tr w:rsidR="002646E0" w:rsidRPr="00E91F6E" w14:paraId="65EC95FE" w14:textId="77777777" w:rsidTr="003E55B6">
        <w:tc>
          <w:tcPr>
            <w:tcW w:w="2245" w:type="dxa"/>
            <w:shd w:val="clear" w:color="auto" w:fill="A6A6A6" w:themeFill="background1" w:themeFillShade="A6"/>
            <w:vAlign w:val="center"/>
          </w:tcPr>
          <w:p w14:paraId="70648149" w14:textId="744B537F" w:rsidR="002646E0" w:rsidRPr="00E91F6E" w:rsidRDefault="00D859DC" w:rsidP="00C62F73">
            <w:pPr>
              <w:widowControl/>
              <w:jc w:val="both"/>
              <w:rPr>
                <w:b/>
                <w:sz w:val="22"/>
                <w:szCs w:val="22"/>
              </w:rPr>
            </w:pPr>
            <w:r w:rsidRPr="00E91F6E">
              <w:rPr>
                <w:b/>
                <w:sz w:val="22"/>
                <w:szCs w:val="22"/>
              </w:rPr>
              <w:t>All other transactions</w:t>
            </w:r>
          </w:p>
        </w:tc>
        <w:tc>
          <w:tcPr>
            <w:tcW w:w="5940" w:type="dxa"/>
            <w:shd w:val="clear" w:color="auto" w:fill="D9D9D9" w:themeFill="background1" w:themeFillShade="D9"/>
          </w:tcPr>
          <w:p w14:paraId="5AC0C421" w14:textId="0F1E9592" w:rsidR="002646E0" w:rsidRPr="00E91F6E" w:rsidRDefault="00DC53D6" w:rsidP="003E55B6">
            <w:pPr>
              <w:widowControl/>
              <w:spacing w:before="120" w:after="120"/>
              <w:jc w:val="both"/>
              <w:rPr>
                <w:b/>
                <w:sz w:val="22"/>
                <w:szCs w:val="22"/>
              </w:rPr>
            </w:pPr>
            <w:r w:rsidRPr="00E91F6E">
              <w:rPr>
                <w:b/>
                <w:sz w:val="22"/>
                <w:szCs w:val="22"/>
              </w:rPr>
              <w:t>All other transactions are not</w:t>
            </w:r>
            <w:r w:rsidR="00D859DC" w:rsidRPr="00E91F6E">
              <w:rPr>
                <w:b/>
                <w:sz w:val="22"/>
                <w:szCs w:val="22"/>
              </w:rPr>
              <w:t xml:space="preserve"> true transfer</w:t>
            </w:r>
            <w:r w:rsidRPr="00E91F6E">
              <w:rPr>
                <w:b/>
                <w:sz w:val="22"/>
                <w:szCs w:val="22"/>
              </w:rPr>
              <w:t>s</w:t>
            </w:r>
            <w:r w:rsidR="00D859DC" w:rsidRPr="00E91F6E">
              <w:rPr>
                <w:b/>
                <w:sz w:val="22"/>
                <w:szCs w:val="22"/>
              </w:rPr>
              <w:t xml:space="preserve"> and should be recorded as either an apportionment or disbursement.</w:t>
            </w:r>
          </w:p>
        </w:tc>
        <w:tc>
          <w:tcPr>
            <w:tcW w:w="1170" w:type="dxa"/>
            <w:shd w:val="clear" w:color="auto" w:fill="A6A6A6" w:themeFill="background1" w:themeFillShade="A6"/>
            <w:vAlign w:val="center"/>
          </w:tcPr>
          <w:p w14:paraId="30311482" w14:textId="479A6CF4" w:rsidR="002646E0" w:rsidRPr="00E91F6E" w:rsidRDefault="00D859DC" w:rsidP="00C62F73">
            <w:pPr>
              <w:widowControl/>
              <w:jc w:val="center"/>
              <w:rPr>
                <w:b/>
                <w:sz w:val="22"/>
                <w:szCs w:val="22"/>
              </w:rPr>
            </w:pPr>
            <w:r w:rsidRPr="00E91F6E">
              <w:rPr>
                <w:b/>
                <w:sz w:val="22"/>
                <w:szCs w:val="22"/>
              </w:rPr>
              <w:t>NO</w:t>
            </w:r>
          </w:p>
        </w:tc>
      </w:tr>
    </w:tbl>
    <w:p w14:paraId="47F72BFA" w14:textId="63B1282C" w:rsidR="00532809" w:rsidRPr="00E91F6E" w:rsidRDefault="00532809" w:rsidP="00A603DA">
      <w:pPr>
        <w:widowControl/>
        <w:jc w:val="both"/>
        <w:rPr>
          <w:b/>
          <w:sz w:val="22"/>
          <w:szCs w:val="22"/>
        </w:rPr>
      </w:pPr>
    </w:p>
    <w:p w14:paraId="6C184097" w14:textId="77777777" w:rsidR="00C05515" w:rsidRPr="00E91F6E" w:rsidRDefault="00C05515" w:rsidP="00ED3D38">
      <w:pPr>
        <w:widowControl/>
        <w:jc w:val="both"/>
        <w:rPr>
          <w:highlight w:val="green"/>
        </w:rPr>
        <w:sectPr w:rsidR="00C05515" w:rsidRPr="00E91F6E" w:rsidSect="00FD2381">
          <w:headerReference w:type="even" r:id="rId20"/>
          <w:headerReference w:type="default" r:id="rId21"/>
          <w:footerReference w:type="default" r:id="rId22"/>
          <w:headerReference w:type="first" r:id="rId23"/>
          <w:footnotePr>
            <w:numRestart w:val="eachPage"/>
          </w:footnotePr>
          <w:endnotePr>
            <w:numFmt w:val="decimal"/>
          </w:endnotePr>
          <w:pgSz w:w="12240" w:h="15840" w:code="1"/>
          <w:pgMar w:top="1440" w:right="1440" w:bottom="1440" w:left="1440" w:header="1440" w:footer="1440" w:gutter="0"/>
          <w:pgNumType w:start="4"/>
          <w:cols w:space="720"/>
        </w:sectPr>
      </w:pPr>
    </w:p>
    <w:p w14:paraId="5BC0C9F5" w14:textId="7E21A733" w:rsidR="005D23FB" w:rsidRPr="00E91F6E" w:rsidRDefault="005D23FB" w:rsidP="00ED3D38">
      <w:pPr>
        <w:widowControl/>
        <w:jc w:val="both"/>
        <w:rPr>
          <w:highlight w:val="green"/>
        </w:rPr>
      </w:pPr>
    </w:p>
    <w:p w14:paraId="1094AB7F" w14:textId="64A01265" w:rsidR="00553042" w:rsidRPr="00E91F6E" w:rsidRDefault="00000000" w:rsidP="000D3BEC">
      <w:pPr>
        <w:widowControl/>
        <w:sectPr w:rsidR="00553042" w:rsidRPr="00E91F6E" w:rsidSect="00FD2381">
          <w:headerReference w:type="default" r:id="rId24"/>
          <w:footerReference w:type="default" r:id="rId25"/>
          <w:footnotePr>
            <w:numRestart w:val="eachPage"/>
          </w:footnotePr>
          <w:endnotePr>
            <w:numFmt w:val="decimal"/>
          </w:endnotePr>
          <w:pgSz w:w="12240" w:h="15840" w:code="1"/>
          <w:pgMar w:top="1440" w:right="1440" w:bottom="1440" w:left="1440" w:header="1440" w:footer="1440" w:gutter="0"/>
          <w:cols w:space="720"/>
        </w:sectPr>
      </w:pPr>
      <w:r w:rsidRPr="00E91F6E">
        <w:rPr>
          <w:noProof/>
          <w:highlight w:val="red"/>
        </w:rPr>
        <w:object w:dxaOrig="1440" w:dyaOrig="1440" w14:anchorId="37AA4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19.9pt;width:463.35pt;height:489.55pt;z-index:251662336;mso-position-horizontal:center;mso-position-horizontal-relative:margin;mso-position-vertical-relative:margin">
            <v:imagedata r:id="rId26" o:title=""/>
            <o:lock v:ext="edit" aspectratio="f"/>
            <w10:wrap type="topAndBottom" anchorx="margin" anchory="margin"/>
          </v:shape>
          <o:OLEObject Type="Embed" ProgID="Excel.Sheet.8" ShapeID="_x0000_s2054" DrawAspect="Content" ObjectID="_1756813974" r:id="rId27"/>
        </w:object>
      </w:r>
    </w:p>
    <w:p w14:paraId="122AD849" w14:textId="4D92ED5E" w:rsidR="008171DB" w:rsidRPr="00E91F6E" w:rsidRDefault="00783D3C" w:rsidP="0005724C">
      <w:pPr>
        <w:autoSpaceDE/>
        <w:autoSpaceDN/>
        <w:spacing w:line="276" w:lineRule="auto"/>
        <w:jc w:val="both"/>
        <w:rPr>
          <w:b/>
          <w:sz w:val="22"/>
          <w:szCs w:val="22"/>
          <w:highlight w:val="green"/>
        </w:rPr>
      </w:pPr>
      <w:r w:rsidRPr="00E91F6E">
        <w:rPr>
          <w:b/>
          <w:sz w:val="22"/>
          <w:szCs w:val="22"/>
          <w:highlight w:val="green"/>
        </w:rPr>
        <w:lastRenderedPageBreak/>
        <w:t>The n</w:t>
      </w:r>
      <w:r w:rsidR="00A5691D" w:rsidRPr="00E91F6E">
        <w:rPr>
          <w:b/>
          <w:sz w:val="22"/>
          <w:szCs w:val="22"/>
          <w:highlight w:val="green"/>
        </w:rPr>
        <w:t>otes to the financial statement (</w:t>
      </w:r>
      <w:r w:rsidRPr="00E91F6E">
        <w:rPr>
          <w:b/>
          <w:sz w:val="22"/>
          <w:szCs w:val="22"/>
          <w:highlight w:val="green"/>
        </w:rPr>
        <w:t xml:space="preserve">the </w:t>
      </w:r>
      <w:r w:rsidR="00A5691D" w:rsidRPr="00E91F6E">
        <w:rPr>
          <w:b/>
          <w:sz w:val="22"/>
          <w:szCs w:val="22"/>
          <w:highlight w:val="green"/>
        </w:rPr>
        <w:t xml:space="preserve">“disclosures”) are considered an integral part of the financial statement, such that the financial statement may appear materially misleading without such disclosures.  The American Institute of Certified Public Accountants </w:t>
      </w:r>
      <w:hyperlink r:id="rId28" w:history="1">
        <w:r w:rsidR="00A5691D" w:rsidRPr="00E91F6E">
          <w:rPr>
            <w:rStyle w:val="Hyperlink"/>
            <w:b/>
            <w:sz w:val="22"/>
            <w:szCs w:val="22"/>
            <w:highlight w:val="green"/>
            <w:lang w:val="en"/>
          </w:rPr>
          <w:t xml:space="preserve">Clarified Statements on Auditing Standards </w:t>
        </w:r>
        <w:r w:rsidR="00A5691D" w:rsidRPr="00E91F6E">
          <w:rPr>
            <w:rStyle w:val="Hyperlink"/>
            <w:b/>
            <w:sz w:val="22"/>
            <w:szCs w:val="22"/>
            <w:highlight w:val="green"/>
          </w:rPr>
          <w:t>AU-C § 800</w:t>
        </w:r>
      </w:hyperlink>
      <w:r w:rsidR="00A5691D" w:rsidRPr="00E91F6E">
        <w:rPr>
          <w:b/>
          <w:sz w:val="22"/>
          <w:szCs w:val="22"/>
          <w:highlight w:val="green"/>
        </w:rPr>
        <w:t xml:space="preserve"> provides guidance on disclosure requirements of regulatory basis financial statements.  The standard reads, in part:</w:t>
      </w:r>
    </w:p>
    <w:p w14:paraId="0566D129" w14:textId="3CB24580" w:rsidR="008171DB" w:rsidRPr="00E91F6E" w:rsidRDefault="008171DB" w:rsidP="0005724C">
      <w:pPr>
        <w:autoSpaceDE/>
        <w:autoSpaceDN/>
        <w:spacing w:line="276" w:lineRule="auto"/>
        <w:jc w:val="both"/>
        <w:rPr>
          <w:b/>
          <w:sz w:val="22"/>
          <w:szCs w:val="22"/>
          <w:highlight w:val="green"/>
        </w:rPr>
      </w:pPr>
    </w:p>
    <w:p w14:paraId="1E211811" w14:textId="74F36485" w:rsidR="00A5691D" w:rsidRPr="00E91F6E" w:rsidRDefault="00F774E0" w:rsidP="00203A2B">
      <w:pPr>
        <w:autoSpaceDE/>
        <w:autoSpaceDN/>
        <w:spacing w:line="276" w:lineRule="auto"/>
        <w:ind w:left="720" w:right="720"/>
        <w:jc w:val="both"/>
        <w:rPr>
          <w:b/>
          <w:sz w:val="22"/>
          <w:szCs w:val="22"/>
          <w:highlight w:val="green"/>
        </w:rPr>
      </w:pPr>
      <w:r w:rsidRPr="00E91F6E">
        <w:rPr>
          <w:b/>
          <w:sz w:val="22"/>
          <w:szCs w:val="22"/>
          <w:highlight w:val="green"/>
        </w:rPr>
        <w:t>“</w:t>
      </w:r>
      <w:r w:rsidR="00A5691D" w:rsidRPr="00E91F6E">
        <w:rPr>
          <w:b/>
          <w:sz w:val="22"/>
          <w:szCs w:val="22"/>
          <w:highlight w:val="green"/>
        </w:rPr>
        <w:t xml:space="preserve">…when the…financial statements contain items that are the same as, or similar to, those in financial statements prepared in accordance with GAAP, the auditor should evaluate whether the financial statements include informative disclosures similar to those required by GAAP. The auditor should also evaluate whether additional disclosures, beyond </w:t>
      </w:r>
      <w:r w:rsidR="00203A2B" w:rsidRPr="00E91F6E">
        <w:rPr>
          <w:b/>
          <w:sz w:val="22"/>
          <w:szCs w:val="22"/>
          <w:highlight w:val="green"/>
        </w:rPr>
        <w:t>those specifically required…</w:t>
      </w:r>
      <w:r w:rsidR="00A5691D" w:rsidRPr="00E91F6E">
        <w:rPr>
          <w:b/>
          <w:sz w:val="22"/>
          <w:szCs w:val="22"/>
          <w:highlight w:val="green"/>
        </w:rPr>
        <w:t>related to matters that are not specifically identified on the face of the financial statements or other disclosures are necessary for the financial statements to achieve fair presentation.</w:t>
      </w:r>
      <w:r w:rsidRPr="00E91F6E">
        <w:rPr>
          <w:b/>
          <w:sz w:val="22"/>
          <w:szCs w:val="22"/>
          <w:highlight w:val="green"/>
        </w:rPr>
        <w:t>”</w:t>
      </w:r>
    </w:p>
    <w:p w14:paraId="35C2A50B" w14:textId="4C032EED" w:rsidR="00A5691D" w:rsidRPr="00E91F6E" w:rsidRDefault="00A5691D" w:rsidP="0005724C">
      <w:pPr>
        <w:autoSpaceDE/>
        <w:autoSpaceDN/>
        <w:spacing w:line="276" w:lineRule="auto"/>
        <w:jc w:val="both"/>
        <w:rPr>
          <w:b/>
          <w:sz w:val="22"/>
          <w:szCs w:val="22"/>
          <w:highlight w:val="green"/>
        </w:rPr>
      </w:pPr>
    </w:p>
    <w:p w14:paraId="312C192F" w14:textId="4BB6605B" w:rsidR="00203A2B" w:rsidRPr="00E91F6E" w:rsidRDefault="009C066B" w:rsidP="0005724C">
      <w:pPr>
        <w:autoSpaceDE/>
        <w:autoSpaceDN/>
        <w:spacing w:line="276" w:lineRule="auto"/>
        <w:jc w:val="both"/>
        <w:rPr>
          <w:b/>
          <w:sz w:val="22"/>
          <w:szCs w:val="22"/>
          <w:highlight w:val="green"/>
        </w:rPr>
      </w:pPr>
      <w:r w:rsidRPr="00E91F6E">
        <w:rPr>
          <w:b/>
          <w:sz w:val="22"/>
          <w:szCs w:val="22"/>
          <w:highlight w:val="green"/>
        </w:rPr>
        <w:t>The following disclosures are considered adequate f</w:t>
      </w:r>
      <w:r w:rsidR="00203A2B" w:rsidRPr="00E91F6E">
        <w:rPr>
          <w:b/>
          <w:sz w:val="22"/>
          <w:szCs w:val="22"/>
          <w:highlight w:val="green"/>
        </w:rPr>
        <w:t>or the purpose of</w:t>
      </w:r>
      <w:r w:rsidRPr="00E91F6E">
        <w:rPr>
          <w:b/>
          <w:sz w:val="22"/>
          <w:szCs w:val="22"/>
          <w:highlight w:val="green"/>
        </w:rPr>
        <w:t xml:space="preserve"> the County’s regulatory basis financial statement:</w:t>
      </w:r>
    </w:p>
    <w:p w14:paraId="672216DF" w14:textId="77777777" w:rsidR="009C066B" w:rsidRPr="00E91F6E" w:rsidRDefault="009C066B" w:rsidP="0005724C">
      <w:pPr>
        <w:autoSpaceDE/>
        <w:autoSpaceDN/>
        <w:spacing w:line="276" w:lineRule="auto"/>
        <w:jc w:val="both"/>
        <w:rPr>
          <w:sz w:val="22"/>
          <w:szCs w:val="22"/>
          <w:highlight w:val="green"/>
        </w:rPr>
      </w:pPr>
    </w:p>
    <w:p w14:paraId="70E8D129" w14:textId="0672FA02" w:rsidR="00606135" w:rsidRPr="00E91F6E" w:rsidRDefault="00F774E0" w:rsidP="00606135">
      <w:pPr>
        <w:autoSpaceDE/>
        <w:autoSpaceDN/>
        <w:spacing w:line="276" w:lineRule="auto"/>
        <w:jc w:val="both"/>
        <w:rPr>
          <w:b/>
          <w:sz w:val="22"/>
          <w:szCs w:val="22"/>
          <w:highlight w:val="green"/>
        </w:rPr>
      </w:pPr>
      <w:r w:rsidRPr="00E91F6E">
        <w:rPr>
          <w:b/>
          <w:sz w:val="22"/>
          <w:szCs w:val="22"/>
          <w:highlight w:val="green"/>
        </w:rPr>
        <w:t xml:space="preserve">The American Institute of Certified Public Accountants </w:t>
      </w:r>
      <w:hyperlink r:id="rId29" w:history="1">
        <w:r w:rsidRPr="00E91F6E">
          <w:rPr>
            <w:rStyle w:val="Hyperlink"/>
            <w:b/>
            <w:sz w:val="22"/>
            <w:szCs w:val="22"/>
            <w:highlight w:val="green"/>
            <w:lang w:val="en"/>
          </w:rPr>
          <w:t xml:space="preserve">Clarified Statements on Auditing Standards </w:t>
        </w:r>
        <w:r w:rsidRPr="00E91F6E">
          <w:rPr>
            <w:rStyle w:val="Hyperlink"/>
            <w:b/>
            <w:sz w:val="22"/>
            <w:szCs w:val="22"/>
            <w:highlight w:val="green"/>
          </w:rPr>
          <w:t>AU-C § 700</w:t>
        </w:r>
      </w:hyperlink>
      <w:r w:rsidRPr="00E91F6E">
        <w:rPr>
          <w:b/>
          <w:sz w:val="22"/>
          <w:szCs w:val="22"/>
          <w:highlight w:val="green"/>
          <w:lang w:val="en"/>
        </w:rPr>
        <w:t xml:space="preserve"> requires </w:t>
      </w:r>
      <w:r w:rsidR="00606135" w:rsidRPr="00E91F6E">
        <w:rPr>
          <w:b/>
          <w:sz w:val="22"/>
          <w:szCs w:val="22"/>
          <w:highlight w:val="green"/>
        </w:rPr>
        <w:t>“…the financial statements adequately disclose the significant accounting</w:t>
      </w:r>
    </w:p>
    <w:p w14:paraId="058BC33E" w14:textId="368944F4" w:rsidR="00606135" w:rsidRPr="00E91F6E" w:rsidRDefault="00606135" w:rsidP="00606135">
      <w:pPr>
        <w:autoSpaceDE/>
        <w:autoSpaceDN/>
        <w:spacing w:line="276" w:lineRule="auto"/>
        <w:jc w:val="both"/>
        <w:rPr>
          <w:b/>
          <w:sz w:val="22"/>
          <w:szCs w:val="22"/>
          <w:highlight w:val="green"/>
        </w:rPr>
      </w:pPr>
      <w:r w:rsidRPr="00E91F6E">
        <w:rPr>
          <w:b/>
          <w:sz w:val="22"/>
          <w:szCs w:val="22"/>
          <w:highlight w:val="green"/>
        </w:rPr>
        <w:t>policies selected and applied.”</w:t>
      </w:r>
    </w:p>
    <w:p w14:paraId="058F1FEC" w14:textId="0DDD44FB" w:rsidR="005364BE" w:rsidRPr="00E91F6E" w:rsidRDefault="005364BE" w:rsidP="0005724C">
      <w:pPr>
        <w:pStyle w:val="ListParagraph"/>
        <w:numPr>
          <w:ilvl w:val="0"/>
          <w:numId w:val="16"/>
        </w:numPr>
        <w:autoSpaceDE/>
        <w:autoSpaceDN/>
        <w:spacing w:after="200" w:line="276" w:lineRule="auto"/>
        <w:ind w:hanging="720"/>
        <w:jc w:val="both"/>
        <w:rPr>
          <w:b/>
          <w:sz w:val="22"/>
          <w:szCs w:val="22"/>
        </w:rPr>
      </w:pPr>
      <w:r w:rsidRPr="00E91F6E">
        <w:rPr>
          <w:b/>
          <w:sz w:val="22"/>
          <w:szCs w:val="22"/>
        </w:rPr>
        <w:t>Summary of Significant Accounting Policies</w:t>
      </w:r>
    </w:p>
    <w:p w14:paraId="0F930A94" w14:textId="4A588290" w:rsidR="0005724C" w:rsidRPr="00E91F6E" w:rsidRDefault="0005724C" w:rsidP="000D3BEC">
      <w:pPr>
        <w:pStyle w:val="ListParagraph"/>
        <w:tabs>
          <w:tab w:val="left" w:pos="-1440"/>
        </w:tabs>
        <w:ind w:left="1080"/>
        <w:jc w:val="both"/>
        <w:rPr>
          <w:b/>
          <w:sz w:val="22"/>
          <w:szCs w:val="22"/>
        </w:rPr>
      </w:pPr>
    </w:p>
    <w:p w14:paraId="4095BC75" w14:textId="07A7FC51" w:rsidR="0005724C" w:rsidRPr="00E91F6E" w:rsidRDefault="00C32C76" w:rsidP="0005724C">
      <w:pPr>
        <w:pStyle w:val="ListParagraph"/>
        <w:tabs>
          <w:tab w:val="left" w:pos="-1440"/>
        </w:tabs>
        <w:jc w:val="both"/>
        <w:rPr>
          <w:b/>
          <w:sz w:val="22"/>
          <w:szCs w:val="22"/>
          <w:highlight w:val="green"/>
        </w:rPr>
      </w:pPr>
      <w:r w:rsidRPr="00E91F6E">
        <w:rPr>
          <w:b/>
          <w:sz w:val="22"/>
          <w:szCs w:val="22"/>
          <w:highlight w:val="green"/>
        </w:rPr>
        <w:t>The reporting entity disclosure describes</w:t>
      </w:r>
      <w:r w:rsidR="0068020D" w:rsidRPr="00E91F6E">
        <w:rPr>
          <w:b/>
          <w:sz w:val="22"/>
          <w:szCs w:val="22"/>
          <w:highlight w:val="green"/>
        </w:rPr>
        <w:t xml:space="preserve"> the County and provides basic information of the funds that are and are not included in the presented financial statement.</w:t>
      </w:r>
    </w:p>
    <w:p w14:paraId="5EC84513" w14:textId="091F5A18" w:rsidR="005364BE" w:rsidRPr="00E91F6E" w:rsidRDefault="005364BE" w:rsidP="00B25EE0">
      <w:pPr>
        <w:pStyle w:val="ListParagraph"/>
        <w:numPr>
          <w:ilvl w:val="0"/>
          <w:numId w:val="9"/>
        </w:numPr>
        <w:autoSpaceDE/>
        <w:autoSpaceDN/>
        <w:spacing w:line="276" w:lineRule="auto"/>
        <w:rPr>
          <w:b/>
          <w:sz w:val="22"/>
          <w:szCs w:val="22"/>
          <w:u w:val="single"/>
        </w:rPr>
      </w:pPr>
      <w:r w:rsidRPr="00E91F6E">
        <w:rPr>
          <w:b/>
          <w:sz w:val="22"/>
          <w:szCs w:val="22"/>
          <w:u w:val="single"/>
        </w:rPr>
        <w:t>Reporting Entity</w:t>
      </w:r>
    </w:p>
    <w:p w14:paraId="49547627" w14:textId="77777777" w:rsidR="00B25EE0" w:rsidRPr="00E91F6E" w:rsidRDefault="00B25EE0" w:rsidP="000D3BEC">
      <w:pPr>
        <w:widowControl/>
        <w:ind w:left="720"/>
        <w:jc w:val="both"/>
        <w:rPr>
          <w:sz w:val="22"/>
          <w:szCs w:val="22"/>
          <w:highlight w:val="yellow"/>
        </w:rPr>
      </w:pPr>
    </w:p>
    <w:p w14:paraId="440EC76A" w14:textId="7F826B1F" w:rsidR="005364BE" w:rsidRPr="00E91F6E" w:rsidRDefault="006418A0" w:rsidP="000D3BEC">
      <w:pPr>
        <w:widowControl/>
        <w:ind w:left="720"/>
        <w:jc w:val="both"/>
        <w:rPr>
          <w:sz w:val="22"/>
          <w:szCs w:val="22"/>
        </w:rPr>
      </w:pPr>
      <w:r w:rsidRPr="00E91F6E">
        <w:rPr>
          <w:sz w:val="22"/>
          <w:szCs w:val="22"/>
          <w:highlight w:val="yellow"/>
        </w:rPr>
        <w:t>____________</w:t>
      </w:r>
      <w:r w:rsidR="005364BE" w:rsidRPr="00E91F6E">
        <w:rPr>
          <w:sz w:val="22"/>
          <w:szCs w:val="22"/>
        </w:rPr>
        <w:t xml:space="preserve"> County is a subdivision of the State of Oklahoma created by the Oklahoma Constitution and regulated by Oklahoma Statutes.  </w:t>
      </w:r>
    </w:p>
    <w:p w14:paraId="0604FB5D" w14:textId="77777777" w:rsidR="005364BE" w:rsidRPr="00E91F6E" w:rsidRDefault="005364BE" w:rsidP="000D3BEC">
      <w:pPr>
        <w:widowControl/>
        <w:ind w:left="720"/>
        <w:jc w:val="both"/>
        <w:rPr>
          <w:sz w:val="22"/>
          <w:szCs w:val="22"/>
        </w:rPr>
      </w:pPr>
    </w:p>
    <w:p w14:paraId="082BC7B3" w14:textId="022338DB" w:rsidR="005364BE" w:rsidRPr="00E91F6E" w:rsidRDefault="005364BE" w:rsidP="000D3BEC">
      <w:pPr>
        <w:widowControl/>
        <w:ind w:left="720"/>
        <w:jc w:val="both"/>
        <w:rPr>
          <w:sz w:val="22"/>
          <w:szCs w:val="22"/>
        </w:rPr>
      </w:pPr>
      <w:r w:rsidRPr="00E91F6E">
        <w:rPr>
          <w:sz w:val="22"/>
          <w:szCs w:val="22"/>
        </w:rPr>
        <w:t>The accompanying financial statement presents the receipts, disbursements, and changes in cash balances of the total of all funds under the control of the primary government.  The general fund is the county’s general operating fund, accounting for all financial resources except those required to be accounted for in another fund, where its use is restricted for a specified purpose.  Other funds established by statute and under the control of the primary government are also presented.</w:t>
      </w:r>
    </w:p>
    <w:p w14:paraId="1298D840" w14:textId="77777777" w:rsidR="00C57415" w:rsidRPr="00E91F6E" w:rsidRDefault="00C57415" w:rsidP="000D3BEC">
      <w:pPr>
        <w:widowControl/>
        <w:ind w:left="720"/>
        <w:jc w:val="both"/>
        <w:rPr>
          <w:sz w:val="22"/>
          <w:szCs w:val="22"/>
        </w:rPr>
      </w:pPr>
    </w:p>
    <w:p w14:paraId="0CACC7E6" w14:textId="77777777" w:rsidR="00C57415" w:rsidRPr="00E91F6E" w:rsidRDefault="00C57415" w:rsidP="000D3BEC">
      <w:pPr>
        <w:widowControl/>
        <w:ind w:left="720"/>
        <w:jc w:val="both"/>
        <w:rPr>
          <w:sz w:val="22"/>
          <w:szCs w:val="22"/>
        </w:rPr>
      </w:pPr>
      <w:r w:rsidRPr="00E91F6E">
        <w:rPr>
          <w:sz w:val="22"/>
          <w:szCs w:val="22"/>
        </w:rPr>
        <w:t xml:space="preserve">The County Treasurer collects and remits material amounts of intergovernmental revenues and ad valorem tax revenue for other budgetary entities, including </w:t>
      </w:r>
      <w:r w:rsidRPr="00E91F6E">
        <w:rPr>
          <w:sz w:val="22"/>
          <w:szCs w:val="22"/>
          <w:highlight w:val="yellow"/>
        </w:rPr>
        <w:t>emergency medical districts, libraries,</w:t>
      </w:r>
      <w:r w:rsidRPr="00E91F6E">
        <w:rPr>
          <w:sz w:val="22"/>
          <w:szCs w:val="22"/>
        </w:rPr>
        <w:t xml:space="preserve"> school districts, and cities and towns.  The cash receipts and disbursements attributable to those other entities do not appear in funds on the County’s financial statement; those funds play no part </w:t>
      </w:r>
      <w:r w:rsidRPr="00E91F6E">
        <w:rPr>
          <w:sz w:val="22"/>
          <w:szCs w:val="22"/>
        </w:rPr>
        <w:lastRenderedPageBreak/>
        <w:t xml:space="preserve">in the County’s operations. </w:t>
      </w:r>
      <w:r w:rsidR="00F71C79" w:rsidRPr="00E91F6E">
        <w:rPr>
          <w:sz w:val="22"/>
          <w:szCs w:val="22"/>
        </w:rPr>
        <w:t xml:space="preserve"> </w:t>
      </w:r>
      <w:r w:rsidRPr="00E91F6E">
        <w:rPr>
          <w:sz w:val="22"/>
          <w:szCs w:val="22"/>
        </w:rPr>
        <w:t>Any trust or agency funds maintained by the County are not included in this presentation.</w:t>
      </w:r>
    </w:p>
    <w:p w14:paraId="5B7D8251" w14:textId="1875F333" w:rsidR="00C57415" w:rsidRPr="00E91F6E" w:rsidRDefault="00C57415" w:rsidP="000D3BEC">
      <w:pPr>
        <w:widowControl/>
        <w:ind w:left="720"/>
        <w:jc w:val="both"/>
        <w:rPr>
          <w:sz w:val="22"/>
          <w:szCs w:val="22"/>
        </w:rPr>
      </w:pPr>
    </w:p>
    <w:p w14:paraId="7FFFA55E" w14:textId="6F88774D" w:rsidR="00B25EE0" w:rsidRPr="00E91F6E" w:rsidRDefault="0068020D" w:rsidP="000D3BEC">
      <w:pPr>
        <w:widowControl/>
        <w:ind w:left="720"/>
        <w:jc w:val="both"/>
        <w:rPr>
          <w:sz w:val="22"/>
          <w:szCs w:val="22"/>
        </w:rPr>
      </w:pPr>
      <w:r w:rsidRPr="00E91F6E">
        <w:rPr>
          <w:b/>
          <w:sz w:val="22"/>
          <w:szCs w:val="22"/>
          <w:highlight w:val="green"/>
        </w:rPr>
        <w:t xml:space="preserve">The </w:t>
      </w:r>
      <w:r w:rsidR="00B4342B" w:rsidRPr="00E91F6E">
        <w:rPr>
          <w:b/>
          <w:sz w:val="22"/>
          <w:szCs w:val="22"/>
          <w:highlight w:val="green"/>
        </w:rPr>
        <w:t>fund accounting</w:t>
      </w:r>
      <w:r w:rsidRPr="00E91F6E">
        <w:rPr>
          <w:b/>
          <w:sz w:val="22"/>
          <w:szCs w:val="22"/>
          <w:highlight w:val="green"/>
        </w:rPr>
        <w:t xml:space="preserve"> disclosur</w:t>
      </w:r>
      <w:r w:rsidR="00B4342B" w:rsidRPr="00E91F6E">
        <w:rPr>
          <w:b/>
          <w:sz w:val="22"/>
          <w:szCs w:val="22"/>
          <w:highlight w:val="green"/>
        </w:rPr>
        <w:t>e describes the method by which the County accounts for the rece</w:t>
      </w:r>
      <w:r w:rsidR="00783D3C" w:rsidRPr="00E91F6E">
        <w:rPr>
          <w:b/>
          <w:sz w:val="22"/>
          <w:szCs w:val="22"/>
          <w:highlight w:val="green"/>
        </w:rPr>
        <w:t>ipts, disbursements, and changes</w:t>
      </w:r>
      <w:r w:rsidR="00B4342B" w:rsidRPr="00E91F6E">
        <w:rPr>
          <w:b/>
          <w:sz w:val="22"/>
          <w:szCs w:val="22"/>
          <w:highlight w:val="green"/>
        </w:rPr>
        <w:t xml:space="preserve"> in cash balances.  A brief description of each fund presented in the financial statement, including the source of collections and the purpose and restrictions (if any) of disbursements, is also disclosed.  Only County Funds are presented below.  The </w:t>
      </w:r>
      <w:r w:rsidR="00BD1B1F" w:rsidRPr="00E91F6E">
        <w:rPr>
          <w:b/>
          <w:sz w:val="22"/>
          <w:szCs w:val="22"/>
          <w:highlight w:val="green"/>
        </w:rPr>
        <w:t>fund title and order in which funds appear</w:t>
      </w:r>
      <w:r w:rsidR="00B4342B" w:rsidRPr="00E91F6E">
        <w:rPr>
          <w:b/>
          <w:sz w:val="22"/>
          <w:szCs w:val="22"/>
          <w:highlight w:val="green"/>
        </w:rPr>
        <w:t xml:space="preserve"> should be identical to the County Funds presented in the financial statement on page </w:t>
      </w:r>
      <w:r w:rsidR="00D9668C" w:rsidRPr="00E91F6E">
        <w:rPr>
          <w:b/>
          <w:sz w:val="22"/>
          <w:szCs w:val="22"/>
          <w:highlight w:val="green"/>
        </w:rPr>
        <w:t>7</w:t>
      </w:r>
      <w:r w:rsidR="00B4342B" w:rsidRPr="00E91F6E">
        <w:rPr>
          <w:b/>
          <w:sz w:val="22"/>
          <w:szCs w:val="22"/>
          <w:highlight w:val="green"/>
        </w:rPr>
        <w:t>.</w:t>
      </w:r>
      <w:r w:rsidRPr="00E91F6E">
        <w:rPr>
          <w:b/>
          <w:sz w:val="22"/>
          <w:szCs w:val="22"/>
        </w:rPr>
        <w:t xml:space="preserve"> </w:t>
      </w:r>
    </w:p>
    <w:p w14:paraId="78FD4D5E" w14:textId="77777777" w:rsidR="005364BE" w:rsidRPr="00E91F6E" w:rsidRDefault="005364BE" w:rsidP="00B25EE0">
      <w:pPr>
        <w:pStyle w:val="ListParagraph"/>
        <w:widowControl w:val="0"/>
        <w:numPr>
          <w:ilvl w:val="0"/>
          <w:numId w:val="9"/>
        </w:numPr>
        <w:autoSpaceDE/>
        <w:autoSpaceDN/>
        <w:adjustRightInd w:val="0"/>
        <w:spacing w:line="276" w:lineRule="auto"/>
        <w:ind w:left="720" w:firstLine="0"/>
        <w:contextualSpacing w:val="0"/>
        <w:rPr>
          <w:b/>
          <w:sz w:val="22"/>
          <w:szCs w:val="22"/>
          <w:u w:val="single"/>
        </w:rPr>
      </w:pPr>
      <w:r w:rsidRPr="00E91F6E">
        <w:rPr>
          <w:b/>
          <w:sz w:val="22"/>
          <w:szCs w:val="22"/>
          <w:u w:val="single"/>
        </w:rPr>
        <w:t>Fund Accounting</w:t>
      </w:r>
    </w:p>
    <w:p w14:paraId="3BA9E351" w14:textId="77777777" w:rsidR="00B25EE0" w:rsidRPr="00E91F6E" w:rsidRDefault="00B25EE0" w:rsidP="000D3BEC">
      <w:pPr>
        <w:pStyle w:val="BodyTextIndent3"/>
        <w:rPr>
          <w:szCs w:val="20"/>
        </w:rPr>
      </w:pPr>
    </w:p>
    <w:p w14:paraId="288DF73A" w14:textId="6091279F" w:rsidR="005364BE" w:rsidRPr="00E91F6E" w:rsidRDefault="005364BE" w:rsidP="000D3BEC">
      <w:pPr>
        <w:pStyle w:val="BodyTextIndent3"/>
        <w:rPr>
          <w:szCs w:val="20"/>
        </w:rPr>
      </w:pPr>
      <w:r w:rsidRPr="00E91F6E">
        <w:rPr>
          <w:szCs w:val="20"/>
        </w:rPr>
        <w:t>The County uses funds to report on receipts, disbursements, and changes in cash balances.  Fund accounting is designed to demonstrate legal compliance and to aid financial management by segregating transactions related to certain government functions or activities.</w:t>
      </w:r>
    </w:p>
    <w:p w14:paraId="69522B15" w14:textId="77777777" w:rsidR="005364BE" w:rsidRPr="00E91F6E" w:rsidRDefault="005364BE" w:rsidP="000D3BEC">
      <w:pPr>
        <w:pStyle w:val="BodyTextIndent3"/>
        <w:rPr>
          <w:szCs w:val="20"/>
        </w:rPr>
      </w:pPr>
    </w:p>
    <w:p w14:paraId="104BBB9E" w14:textId="77777777" w:rsidR="005364BE" w:rsidRPr="00E91F6E" w:rsidRDefault="005364BE" w:rsidP="000D3BEC">
      <w:pPr>
        <w:pStyle w:val="Heading5"/>
        <w:numPr>
          <w:ilvl w:val="0"/>
          <w:numId w:val="0"/>
        </w:num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6720"/>
        </w:tabs>
        <w:ind w:left="720"/>
        <w:rPr>
          <w:szCs w:val="20"/>
          <w:u w:val="none"/>
        </w:rPr>
      </w:pPr>
      <w:r w:rsidRPr="00E91F6E">
        <w:rPr>
          <w:szCs w:val="20"/>
          <w:u w:val="none"/>
        </w:rPr>
        <w:t xml:space="preserve">Following are descriptions of the </w:t>
      </w:r>
      <w:r w:rsidR="00E84679" w:rsidRPr="00E91F6E">
        <w:rPr>
          <w:szCs w:val="20"/>
          <w:u w:val="none"/>
        </w:rPr>
        <w:t xml:space="preserve">county </w:t>
      </w:r>
      <w:r w:rsidRPr="00E91F6E">
        <w:rPr>
          <w:szCs w:val="20"/>
          <w:u w:val="none"/>
        </w:rPr>
        <w:t xml:space="preserve">funds included as </w:t>
      </w:r>
      <w:r w:rsidR="00C57415" w:rsidRPr="00E91F6E">
        <w:rPr>
          <w:szCs w:val="20"/>
          <w:u w:val="none"/>
        </w:rPr>
        <w:t>combining</w:t>
      </w:r>
      <w:r w:rsidRPr="00E91F6E">
        <w:rPr>
          <w:szCs w:val="20"/>
          <w:u w:val="none"/>
        </w:rPr>
        <w:t xml:space="preserve"> information within the financial statement:</w:t>
      </w:r>
    </w:p>
    <w:p w14:paraId="446960F5" w14:textId="1342A3BC" w:rsidR="005364BE" w:rsidRPr="00E91F6E" w:rsidRDefault="005364BE" w:rsidP="000D3BEC">
      <w:pPr>
        <w:widowControl/>
        <w:jc w:val="both"/>
        <w:rPr>
          <w:sz w:val="22"/>
        </w:rPr>
      </w:pPr>
    </w:p>
    <w:p w14:paraId="60AE8A3D" w14:textId="23218842"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County General -</w:t>
      </w:r>
      <w:r w:rsidRPr="004C3079">
        <w:rPr>
          <w:rFonts w:eastAsia="Calibri"/>
          <w:sz w:val="22"/>
          <w:szCs w:val="22"/>
          <w:highlight w:val="yellow"/>
        </w:rPr>
        <w:t xml:space="preserve"> revenue derived mostly from ad valorem tax as directed by Oklahoma Constitution and State Statutes.  Other revenues include fees, in-lieu taxes, and other miscellaneous collections.  Disbursements are for general operations of the county.</w:t>
      </w:r>
    </w:p>
    <w:p w14:paraId="22FA23D3" w14:textId="77777777" w:rsidR="004C3079" w:rsidRPr="004C3079" w:rsidRDefault="004C3079" w:rsidP="004C3079">
      <w:pPr>
        <w:keepLines/>
        <w:widowControl/>
        <w:autoSpaceDE/>
        <w:autoSpaceDN/>
        <w:adjustRightInd/>
        <w:spacing w:after="160" w:line="259" w:lineRule="auto"/>
        <w:ind w:left="720"/>
        <w:contextualSpacing/>
        <w:jc w:val="both"/>
        <w:rPr>
          <w:rFonts w:eastAsia="Calibri"/>
          <w:b/>
          <w:sz w:val="22"/>
          <w:szCs w:val="22"/>
          <w:highlight w:val="yellow"/>
        </w:rPr>
      </w:pPr>
      <w:r w:rsidRPr="004C3079">
        <w:rPr>
          <w:rFonts w:eastAsia="Calibri"/>
          <w:b/>
          <w:sz w:val="22"/>
          <w:szCs w:val="22"/>
          <w:highlight w:val="yellow"/>
        </w:rPr>
        <w:t>Special Revenue Funds</w:t>
      </w:r>
    </w:p>
    <w:p w14:paraId="713D0B13" w14:textId="77777777" w:rsidR="004C3079" w:rsidRPr="004C3079" w:rsidRDefault="004C3079" w:rsidP="004C3079">
      <w:pPr>
        <w:keepLines/>
        <w:widowControl/>
        <w:autoSpaceDE/>
        <w:autoSpaceDN/>
        <w:adjustRightInd/>
        <w:spacing w:after="160" w:line="259" w:lineRule="auto"/>
        <w:ind w:left="1080"/>
        <w:jc w:val="both"/>
        <w:rPr>
          <w:rFonts w:eastAsia="Calibri"/>
          <w:sz w:val="22"/>
          <w:szCs w:val="22"/>
          <w:highlight w:val="yellow"/>
        </w:rPr>
      </w:pPr>
      <w:r w:rsidRPr="004C3079">
        <w:rPr>
          <w:rFonts w:eastAsia="Calibri"/>
          <w:b/>
          <w:sz w:val="22"/>
          <w:szCs w:val="22"/>
          <w:highlight w:val="yellow"/>
        </w:rPr>
        <w:t xml:space="preserve">County Highway (unrestricted) – </w:t>
      </w:r>
      <w:r w:rsidRPr="004C3079">
        <w:rPr>
          <w:rFonts w:eastAsia="Calibri"/>
          <w:bCs/>
          <w:sz w:val="22"/>
          <w:szCs w:val="22"/>
          <w:highlight w:val="yellow"/>
        </w:rPr>
        <w:t xml:space="preserve">consists </w:t>
      </w:r>
      <w:r w:rsidRPr="004C3079">
        <w:rPr>
          <w:rFonts w:eastAsia="Calibri"/>
          <w:sz w:val="22"/>
          <w:szCs w:val="22"/>
          <w:highlight w:val="yellow"/>
        </w:rPr>
        <w:t>of revenue from motor fuel and motor vehicle taxes and is designated for those activities associated with building and maintaining county roads and bridges.</w:t>
      </w:r>
    </w:p>
    <w:p w14:paraId="4DDEC54C" w14:textId="77777777" w:rsidR="004C3079" w:rsidRPr="004C3079" w:rsidRDefault="004C3079" w:rsidP="004C3079">
      <w:pPr>
        <w:keepLines/>
        <w:widowControl/>
        <w:autoSpaceDE/>
        <w:autoSpaceDN/>
        <w:adjustRightInd/>
        <w:spacing w:after="160" w:line="259" w:lineRule="auto"/>
        <w:ind w:left="1080"/>
        <w:jc w:val="both"/>
        <w:rPr>
          <w:rFonts w:eastAsia="Calibri"/>
          <w:sz w:val="22"/>
          <w:szCs w:val="22"/>
          <w:highlight w:val="yellow"/>
        </w:rPr>
      </w:pPr>
      <w:r w:rsidRPr="004C3079">
        <w:rPr>
          <w:rFonts w:eastAsia="Calibri"/>
          <w:b/>
          <w:sz w:val="22"/>
          <w:szCs w:val="22"/>
          <w:highlight w:val="yellow"/>
        </w:rPr>
        <w:t xml:space="preserve">County Road and Bridge Improvement fund – </w:t>
      </w:r>
      <w:r w:rsidRPr="004C3079">
        <w:rPr>
          <w:rFonts w:eastAsia="Calibri"/>
          <w:bCs/>
          <w:sz w:val="22"/>
          <w:szCs w:val="22"/>
          <w:highlight w:val="yellow"/>
        </w:rPr>
        <w:t xml:space="preserve">revenue </w:t>
      </w:r>
      <w:r w:rsidRPr="004C3079">
        <w:rPr>
          <w:rFonts w:eastAsia="Calibri"/>
          <w:sz w:val="22"/>
          <w:szCs w:val="22"/>
          <w:highlight w:val="yellow"/>
        </w:rPr>
        <w:t xml:space="preserve">from gasoline and natural gas taxes to be used for costs associated with bridge inspections, improvements, and construction, as well as the construction of a bituminous surface treatment or gravel roadway.  </w:t>
      </w:r>
    </w:p>
    <w:p w14:paraId="0CC3CB1B" w14:textId="5135CB76" w:rsidR="004C3079" w:rsidRPr="00E91F6E" w:rsidRDefault="004C3079" w:rsidP="004C3079">
      <w:pPr>
        <w:keepLines/>
        <w:widowControl/>
        <w:autoSpaceDE/>
        <w:autoSpaceDN/>
        <w:adjustRightInd/>
        <w:spacing w:after="160" w:line="259" w:lineRule="auto"/>
        <w:ind w:left="1080"/>
        <w:jc w:val="both"/>
        <w:rPr>
          <w:rFonts w:eastAsia="Calibri"/>
          <w:sz w:val="22"/>
          <w:szCs w:val="22"/>
          <w:highlight w:val="yellow"/>
        </w:rPr>
      </w:pPr>
      <w:r w:rsidRPr="004C3079">
        <w:rPr>
          <w:rFonts w:eastAsia="Calibri"/>
          <w:b/>
          <w:sz w:val="22"/>
          <w:szCs w:val="22"/>
          <w:highlight w:val="yellow"/>
        </w:rPr>
        <w:t xml:space="preserve">County Sinking fund </w:t>
      </w:r>
      <w:r w:rsidRPr="004C3079">
        <w:rPr>
          <w:rFonts w:eastAsia="Calibri"/>
          <w:sz w:val="22"/>
          <w:szCs w:val="22"/>
          <w:highlight w:val="yellow"/>
        </w:rPr>
        <w:t xml:space="preserve">– accounts for the debt service collections derived generally from a special ad valorem tax levy and interest earned on investments.  </w:t>
      </w:r>
    </w:p>
    <w:p w14:paraId="17CB495B" w14:textId="77777777" w:rsidR="004C3079" w:rsidRPr="00E91F6E" w:rsidRDefault="004C3079">
      <w:pPr>
        <w:widowControl/>
        <w:autoSpaceDE/>
        <w:autoSpaceDN/>
        <w:adjustRightInd/>
        <w:rPr>
          <w:rFonts w:eastAsia="Calibri"/>
          <w:sz w:val="22"/>
          <w:szCs w:val="22"/>
        </w:rPr>
      </w:pPr>
      <w:r w:rsidRPr="00E91F6E">
        <w:rPr>
          <w:rFonts w:eastAsia="Calibri"/>
          <w:sz w:val="22"/>
          <w:szCs w:val="22"/>
        </w:rPr>
        <w:br w:type="page"/>
      </w:r>
    </w:p>
    <w:p w14:paraId="15FACA76" w14:textId="77777777" w:rsidR="004C3079" w:rsidRPr="004C3079" w:rsidRDefault="004C3079" w:rsidP="004C3079">
      <w:pPr>
        <w:keepLines/>
        <w:widowControl/>
        <w:autoSpaceDE/>
        <w:autoSpaceDN/>
        <w:adjustRightInd/>
        <w:spacing w:after="160" w:line="259" w:lineRule="auto"/>
        <w:ind w:left="1080"/>
        <w:jc w:val="both"/>
        <w:rPr>
          <w:rFonts w:eastAsia="Calibri"/>
          <w:sz w:val="22"/>
          <w:szCs w:val="22"/>
          <w:highlight w:val="yellow"/>
        </w:rPr>
      </w:pPr>
    </w:p>
    <w:p w14:paraId="78329CE3" w14:textId="77777777" w:rsidR="004C3079" w:rsidRPr="00E91F6E"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Sales Tax*</w:t>
      </w:r>
      <w:r w:rsidRPr="004C3079">
        <w:rPr>
          <w:rFonts w:eastAsia="Calibri"/>
          <w:sz w:val="22"/>
          <w:szCs w:val="22"/>
          <w:highlight w:val="yellow"/>
        </w:rPr>
        <w:t xml:space="preserve"> – tax assessed upon retail sales within the county as authorized by vote of the citizens of the county.  Sales tax funds are restricted for the purpose described on the ballot approved by voters.</w:t>
      </w:r>
    </w:p>
    <w:p w14:paraId="1ACAE963" w14:textId="28D46BA7" w:rsidR="004C3079" w:rsidRPr="004C3079" w:rsidRDefault="004C3079" w:rsidP="004C3079">
      <w:pPr>
        <w:keepLines/>
        <w:widowControl/>
        <w:autoSpaceDE/>
        <w:autoSpaceDN/>
        <w:adjustRightInd/>
        <w:spacing w:after="160" w:line="259" w:lineRule="auto"/>
        <w:ind w:left="720"/>
        <w:jc w:val="both"/>
        <w:rPr>
          <w:rFonts w:eastAsia="Calibri"/>
          <w:bCs/>
          <w:i/>
          <w:iCs/>
          <w:sz w:val="22"/>
          <w:szCs w:val="22"/>
          <w:highlight w:val="yellow"/>
        </w:rPr>
      </w:pPr>
      <w:r w:rsidRPr="004C3079">
        <w:rPr>
          <w:rFonts w:eastAsia="Calibri"/>
          <w:bCs/>
          <w:i/>
          <w:iCs/>
          <w:sz w:val="22"/>
          <w:szCs w:val="22"/>
          <w:highlight w:val="yellow"/>
        </w:rPr>
        <w:t>*Note: List each sales fund individually as displayed on your financial statement with the names as specified in the Chart of Accounts.</w:t>
      </w:r>
    </w:p>
    <w:p w14:paraId="75682FDC"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Use Tax – ST </w:t>
      </w:r>
      <w:r w:rsidRPr="004C3079">
        <w:rPr>
          <w:rFonts w:eastAsia="Calibri"/>
          <w:sz w:val="22"/>
          <w:szCs w:val="22"/>
          <w:highlight w:val="yellow"/>
        </w:rPr>
        <w:t>– in addition to county sales tax, use tax is an excise tax levied on the storage, use or other consumption of tangible personal property used, stored, or consumed within the county.  The purpose of the use tax is designated by the board of county commissioners.</w:t>
      </w:r>
    </w:p>
    <w:p w14:paraId="39011444"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Lodging Tax - ST </w:t>
      </w:r>
      <w:r w:rsidRPr="004C3079">
        <w:rPr>
          <w:rFonts w:eastAsia="Calibri"/>
          <w:sz w:val="22"/>
          <w:szCs w:val="22"/>
          <w:highlight w:val="yellow"/>
        </w:rPr>
        <w:t>– tax upon public lodging approved by the voters of the county and designated for a particular purpose as stated on the ballot.</w:t>
      </w:r>
    </w:p>
    <w:p w14:paraId="79734C97"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911 Phone Fees</w:t>
      </w:r>
      <w:r w:rsidRPr="004C3079">
        <w:rPr>
          <w:rFonts w:eastAsia="Calibri"/>
          <w:sz w:val="22"/>
          <w:szCs w:val="22"/>
          <w:highlight w:val="yellow"/>
        </w:rPr>
        <w:t xml:space="preserve"> – fees collected by phone service provider in accordance with 63 O.S. § 2813 to support 911 emergency operations.  </w:t>
      </w:r>
    </w:p>
    <w:p w14:paraId="574E3F88"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Community Service Program</w:t>
      </w:r>
      <w:r w:rsidRPr="004C3079">
        <w:rPr>
          <w:rFonts w:eastAsia="Calibri"/>
          <w:sz w:val="22"/>
          <w:szCs w:val="22"/>
          <w:highlight w:val="yellow"/>
        </w:rPr>
        <w:t xml:space="preserve"> – revenue collected as an assessment levied upon felony or misdemeanor court cases.  This structured program is </w:t>
      </w:r>
      <w:r w:rsidRPr="004C3079">
        <w:rPr>
          <w:rFonts w:eastAsia="Calibri"/>
          <w:color w:val="333333"/>
          <w:sz w:val="22"/>
          <w:szCs w:val="22"/>
          <w:highlight w:val="yellow"/>
        </w:rPr>
        <w:t>for sentenced offenders to work in or on government property and is intended to improve the community while providing a cost savings of public funds.</w:t>
      </w:r>
      <w:r w:rsidRPr="004C3079">
        <w:rPr>
          <w:rFonts w:eastAsia="Calibri"/>
          <w:sz w:val="22"/>
          <w:szCs w:val="22"/>
          <w:highlight w:val="yellow"/>
        </w:rPr>
        <w:t xml:space="preserve"> Disbursements are restricted to administration and operation of the program.</w:t>
      </w:r>
    </w:p>
    <w:p w14:paraId="6FE815DA"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color w:val="333333"/>
          <w:sz w:val="22"/>
          <w:szCs w:val="22"/>
          <w:highlight w:val="yellow"/>
        </w:rPr>
        <w:t>Assessor’s Revolving Fee</w:t>
      </w:r>
      <w:r w:rsidRPr="004C3079">
        <w:rPr>
          <w:rFonts w:eastAsia="Calibri"/>
          <w:color w:val="333333"/>
          <w:sz w:val="22"/>
          <w:szCs w:val="22"/>
          <w:highlight w:val="yellow"/>
        </w:rPr>
        <w:t xml:space="preserve"> – all fees collected by the assessor to maintain electronic databases and geographic information systems associated with the assessor’s statutory duties.  </w:t>
      </w:r>
    </w:p>
    <w:p w14:paraId="359B370B"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Assessor’s Visual Inspection</w:t>
      </w:r>
      <w:r w:rsidRPr="004C3079">
        <w:rPr>
          <w:rFonts w:eastAsia="Calibri"/>
          <w:sz w:val="22"/>
          <w:szCs w:val="22"/>
          <w:highlight w:val="yellow"/>
        </w:rPr>
        <w:t xml:space="preserve"> – revenue from entities that receive ad valorem tax levied upon property within the county.  This revenue is dedicated to the cost of the comprehensive program of visual inspection of taxable property by the County Assessor.  </w:t>
      </w:r>
    </w:p>
    <w:p w14:paraId="1E9B7BBD" w14:textId="77777777" w:rsidR="004C3079" w:rsidRPr="004C3079" w:rsidRDefault="004C3079" w:rsidP="004C3079">
      <w:pPr>
        <w:keepLines/>
        <w:widowControl/>
        <w:autoSpaceDE/>
        <w:autoSpaceDN/>
        <w:adjustRightInd/>
        <w:spacing w:after="160" w:line="259" w:lineRule="auto"/>
        <w:ind w:left="1080"/>
        <w:jc w:val="both"/>
        <w:rPr>
          <w:rFonts w:eastAsia="Calibri"/>
          <w:i/>
          <w:sz w:val="22"/>
          <w:szCs w:val="22"/>
          <w:highlight w:val="yellow"/>
        </w:rPr>
      </w:pPr>
      <w:r w:rsidRPr="004C3079">
        <w:rPr>
          <w:rFonts w:eastAsia="Calibri"/>
          <w:bCs/>
          <w:i/>
          <w:iCs/>
          <w:sz w:val="22"/>
          <w:szCs w:val="22"/>
          <w:highlight w:val="yellow"/>
        </w:rPr>
        <w:t>Note: m</w:t>
      </w:r>
      <w:r w:rsidRPr="004C3079">
        <w:rPr>
          <w:rFonts w:eastAsia="Calibri"/>
          <w:i/>
          <w:sz w:val="22"/>
          <w:szCs w:val="22"/>
          <w:highlight w:val="yellow"/>
        </w:rPr>
        <w:t>ost often this is included in the County’s General Fund Budget, it is not required to be accounted for as a special revenue fund.</w:t>
      </w:r>
    </w:p>
    <w:p w14:paraId="4DE6B3DD"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County Clerk Lien Fee</w:t>
      </w:r>
      <w:r w:rsidRPr="004C3079">
        <w:rPr>
          <w:rFonts w:eastAsia="Calibri"/>
          <w:sz w:val="22"/>
          <w:szCs w:val="22"/>
          <w:highlight w:val="yellow"/>
        </w:rPr>
        <w:t xml:space="preserve"> – revenue generated from filing and copy fees.  Proceeds to be expended for lawful operation of the county clerk’s office.</w:t>
      </w:r>
    </w:p>
    <w:p w14:paraId="268EF39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County Clerk Records Management and Preservation</w:t>
      </w:r>
      <w:r w:rsidRPr="004C3079">
        <w:rPr>
          <w:rFonts w:eastAsia="Calibri"/>
          <w:sz w:val="22"/>
          <w:szCs w:val="22"/>
          <w:highlight w:val="yellow"/>
        </w:rPr>
        <w:t xml:space="preserve"> – special fee collected on all documents filed of record in the county clerk’s office.  Expenditures are restricted to activities related to preservation of records in the county clerk’s office.  </w:t>
      </w:r>
    </w:p>
    <w:p w14:paraId="5523943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Court Clerk Payroll</w:t>
      </w:r>
      <w:r w:rsidRPr="004C3079">
        <w:rPr>
          <w:rFonts w:eastAsia="Calibri"/>
          <w:sz w:val="22"/>
          <w:szCs w:val="22"/>
          <w:highlight w:val="yellow"/>
        </w:rPr>
        <w:t xml:space="preserve"> – funds transferred from the court fund for compensation of district court employees.</w:t>
      </w:r>
    </w:p>
    <w:p w14:paraId="50F9C9D6" w14:textId="77777777" w:rsidR="004C3079" w:rsidRPr="004C3079" w:rsidRDefault="004C3079" w:rsidP="004C3079">
      <w:pPr>
        <w:keepLines/>
        <w:widowControl/>
        <w:autoSpaceDE/>
        <w:autoSpaceDN/>
        <w:adjustRightInd/>
        <w:spacing w:after="160" w:line="259" w:lineRule="auto"/>
        <w:ind w:left="720"/>
        <w:contextualSpacing/>
        <w:jc w:val="both"/>
        <w:rPr>
          <w:rFonts w:eastAsia="Calibri"/>
          <w:sz w:val="22"/>
          <w:szCs w:val="22"/>
          <w:highlight w:val="yellow"/>
        </w:rPr>
      </w:pPr>
      <w:r w:rsidRPr="004C3079">
        <w:rPr>
          <w:rFonts w:eastAsia="Calibri"/>
          <w:b/>
          <w:sz w:val="22"/>
          <w:szCs w:val="22"/>
          <w:highlight w:val="yellow"/>
        </w:rPr>
        <w:lastRenderedPageBreak/>
        <w:t>Sheriff Service Fee</w:t>
      </w:r>
      <w:r w:rsidRPr="004C3079">
        <w:rPr>
          <w:rFonts w:eastAsia="Calibri"/>
          <w:sz w:val="22"/>
          <w:szCs w:val="22"/>
          <w:highlight w:val="yellow"/>
        </w:rPr>
        <w:t xml:space="preserve"> – revenue generated by court fees and fees for services.  Proceeds are to be used for lawful operation of the sheriff’s office.  </w:t>
      </w:r>
    </w:p>
    <w:p w14:paraId="19C0F800" w14:textId="77777777" w:rsidR="004C3079" w:rsidRPr="004C3079" w:rsidRDefault="004C3079" w:rsidP="004C3079">
      <w:pPr>
        <w:keepLines/>
        <w:widowControl/>
        <w:autoSpaceDE/>
        <w:autoSpaceDN/>
        <w:adjustRightInd/>
        <w:spacing w:after="160" w:line="259" w:lineRule="auto"/>
        <w:ind w:left="720" w:firstLine="360"/>
        <w:contextualSpacing/>
        <w:jc w:val="both"/>
        <w:rPr>
          <w:rFonts w:eastAsia="Calibri"/>
          <w:b/>
          <w:bCs/>
          <w:sz w:val="22"/>
          <w:szCs w:val="22"/>
          <w:highlight w:val="yellow"/>
        </w:rPr>
      </w:pPr>
      <w:r w:rsidRPr="004C3079">
        <w:rPr>
          <w:rFonts w:eastAsia="Calibri"/>
          <w:b/>
          <w:bCs/>
          <w:sz w:val="22"/>
          <w:szCs w:val="22"/>
          <w:highlight w:val="yellow"/>
        </w:rPr>
        <w:t>Departments (or sub-accounts) of the Sheriff Service Fee Fund:</w:t>
      </w:r>
    </w:p>
    <w:p w14:paraId="1AF6E900" w14:textId="77777777" w:rsidR="004C3079" w:rsidRPr="004C3079" w:rsidRDefault="004C3079" w:rsidP="004C3079">
      <w:pPr>
        <w:keepLines/>
        <w:widowControl/>
        <w:numPr>
          <w:ilvl w:val="0"/>
          <w:numId w:val="25"/>
        </w:numPr>
        <w:autoSpaceDE/>
        <w:autoSpaceDN/>
        <w:adjustRightInd/>
        <w:spacing w:after="160" w:line="259" w:lineRule="auto"/>
        <w:ind w:left="1800"/>
        <w:contextualSpacing/>
        <w:jc w:val="both"/>
        <w:rPr>
          <w:rFonts w:eastAsia="Calibri"/>
          <w:sz w:val="22"/>
          <w:szCs w:val="22"/>
          <w:highlight w:val="yellow"/>
        </w:rPr>
      </w:pPr>
      <w:r w:rsidRPr="004C3079">
        <w:rPr>
          <w:rFonts w:eastAsia="Calibri"/>
          <w:b/>
          <w:sz w:val="22"/>
          <w:szCs w:val="22"/>
          <w:highlight w:val="yellow"/>
        </w:rPr>
        <w:t>Board of Prisoners</w:t>
      </w:r>
      <w:r w:rsidRPr="004C3079">
        <w:rPr>
          <w:rFonts w:eastAsia="Calibri"/>
          <w:sz w:val="22"/>
          <w:szCs w:val="22"/>
          <w:highlight w:val="yellow"/>
        </w:rPr>
        <w:t xml:space="preserve"> (Jail Fund) – contract revenue for housing prisoners of other local jurisdictions to be used to defray those costs.  </w:t>
      </w:r>
    </w:p>
    <w:p w14:paraId="0D55660B" w14:textId="77777777" w:rsidR="004C3079" w:rsidRPr="004C3079" w:rsidRDefault="004C3079" w:rsidP="004C3079">
      <w:pPr>
        <w:keepLines/>
        <w:widowControl/>
        <w:numPr>
          <w:ilvl w:val="0"/>
          <w:numId w:val="25"/>
        </w:numPr>
        <w:autoSpaceDE/>
        <w:autoSpaceDN/>
        <w:adjustRightInd/>
        <w:spacing w:after="160" w:line="259" w:lineRule="auto"/>
        <w:ind w:left="1800"/>
        <w:contextualSpacing/>
        <w:jc w:val="both"/>
        <w:rPr>
          <w:rFonts w:eastAsia="Calibri"/>
          <w:sz w:val="22"/>
          <w:szCs w:val="22"/>
          <w:highlight w:val="yellow"/>
        </w:rPr>
      </w:pPr>
      <w:r w:rsidRPr="004C3079">
        <w:rPr>
          <w:rFonts w:eastAsia="Calibri"/>
          <w:b/>
          <w:sz w:val="22"/>
          <w:szCs w:val="22"/>
          <w:highlight w:val="yellow"/>
        </w:rPr>
        <w:t>Courthouse Security</w:t>
      </w:r>
      <w:r w:rsidRPr="004C3079">
        <w:rPr>
          <w:rFonts w:eastAsia="Calibri"/>
          <w:sz w:val="22"/>
          <w:szCs w:val="22"/>
          <w:highlight w:val="yellow"/>
        </w:rPr>
        <w:t xml:space="preserve"> – revenue generated by court fees to be deposited into the Sheriff Service Fee Fund and to be used for courthouse security.</w:t>
      </w:r>
    </w:p>
    <w:p w14:paraId="20385A9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Sheriff Commissary</w:t>
      </w:r>
      <w:r w:rsidRPr="004C3079">
        <w:rPr>
          <w:rFonts w:eastAsia="Calibri"/>
          <w:sz w:val="22"/>
          <w:szCs w:val="22"/>
          <w:highlight w:val="yellow"/>
        </w:rPr>
        <w:t xml:space="preserve"> – profits from selling goods to prisoners incarcerated in the county jail.  The revenue is to be used to improve and provide jail services.  The Sheriff may also use any surplus of this fund not needed for jail purposes for administering expenses for training equipment, travel or for capital expenditures.  </w:t>
      </w:r>
    </w:p>
    <w:p w14:paraId="2CF7F4E0"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Sheriff Training </w:t>
      </w:r>
      <w:r w:rsidRPr="004C3079">
        <w:rPr>
          <w:rFonts w:eastAsia="Calibri"/>
          <w:sz w:val="22"/>
          <w:szCs w:val="22"/>
          <w:highlight w:val="yellow"/>
        </w:rPr>
        <w:t xml:space="preserve">– property in the possession of the Sheriff’s office that remains unclaimed for a period of six months or more may be sold upon application to the district court.  Proceeds are used for purchase of equipment, materials or supplies that may be used in crime prevention, education, training or programming.  </w:t>
      </w:r>
    </w:p>
    <w:p w14:paraId="3F79FAAF"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Sheriff Community Service Sentencing Program</w:t>
      </w:r>
      <w:r w:rsidRPr="004C3079">
        <w:rPr>
          <w:rFonts w:eastAsia="Calibri"/>
          <w:sz w:val="22"/>
          <w:szCs w:val="22"/>
          <w:highlight w:val="yellow"/>
        </w:rPr>
        <w:t xml:space="preserve"> – a program for providing an alternative to incarceration for nonviolent felony offenders.  Revenue provided by contracts with Department of Corrections.  Proceeds are restricted to lawful operation of the program.</w:t>
      </w:r>
    </w:p>
    <w:p w14:paraId="4592E61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Sheriff Forfeiture</w:t>
      </w:r>
      <w:r w:rsidRPr="004C3079">
        <w:rPr>
          <w:rFonts w:eastAsia="Calibri"/>
          <w:sz w:val="22"/>
          <w:szCs w:val="22"/>
          <w:highlight w:val="yellow"/>
        </w:rPr>
        <w:t xml:space="preserve"> – proceeds from the sale of property seized by law enforcement as ordered by the court.  The fund is used for law enforcement purposes and/or drug prevention and eradication.</w:t>
      </w:r>
    </w:p>
    <w:p w14:paraId="2F91C404" w14:textId="77777777" w:rsidR="004C3079" w:rsidRPr="004C3079" w:rsidRDefault="004C3079" w:rsidP="004C3079">
      <w:pPr>
        <w:keepLines/>
        <w:widowControl/>
        <w:autoSpaceDE/>
        <w:autoSpaceDN/>
        <w:adjustRightInd/>
        <w:spacing w:after="160" w:line="259" w:lineRule="auto"/>
        <w:ind w:left="720"/>
        <w:jc w:val="both"/>
        <w:rPr>
          <w:rFonts w:eastAsia="Calibri"/>
          <w:b/>
          <w:sz w:val="22"/>
          <w:szCs w:val="22"/>
          <w:highlight w:val="yellow"/>
        </w:rPr>
      </w:pPr>
      <w:r w:rsidRPr="004C3079">
        <w:rPr>
          <w:rFonts w:eastAsia="Calibri"/>
          <w:b/>
          <w:sz w:val="22"/>
          <w:szCs w:val="22"/>
          <w:highlight w:val="yellow"/>
        </w:rPr>
        <w:t xml:space="preserve">Trash Cop </w:t>
      </w:r>
      <w:r w:rsidRPr="004C3079">
        <w:rPr>
          <w:rFonts w:eastAsia="Calibri"/>
          <w:sz w:val="22"/>
          <w:szCs w:val="22"/>
          <w:highlight w:val="yellow"/>
        </w:rPr>
        <w:t xml:space="preserve">– grants and/or fines assessed upon convicted individuals for illegal dumping and collected by the court clerk.  Funds are to be used for investigation and mitigation of illegal dumping. </w:t>
      </w:r>
    </w:p>
    <w:p w14:paraId="0619A81F" w14:textId="77777777" w:rsidR="004C3079" w:rsidRPr="004C3079" w:rsidRDefault="004C3079" w:rsidP="004C3079">
      <w:pPr>
        <w:keepLines/>
        <w:widowControl/>
        <w:autoSpaceDE/>
        <w:autoSpaceDN/>
        <w:adjustRightInd/>
        <w:spacing w:after="160" w:line="259" w:lineRule="auto"/>
        <w:ind w:left="720"/>
        <w:jc w:val="both"/>
        <w:rPr>
          <w:rFonts w:eastAsia="Calibri"/>
          <w:b/>
          <w:sz w:val="22"/>
          <w:szCs w:val="22"/>
          <w:highlight w:val="yellow"/>
        </w:rPr>
      </w:pPr>
      <w:r w:rsidRPr="004C3079">
        <w:rPr>
          <w:rFonts w:eastAsia="Calibri"/>
          <w:b/>
          <w:sz w:val="22"/>
          <w:szCs w:val="22"/>
          <w:highlight w:val="yellow"/>
        </w:rPr>
        <w:t>Sheriff Drug Buy</w:t>
      </w:r>
      <w:r w:rsidRPr="004C3079">
        <w:rPr>
          <w:rFonts w:eastAsia="Calibri"/>
          <w:sz w:val="22"/>
          <w:szCs w:val="22"/>
          <w:highlight w:val="yellow"/>
        </w:rPr>
        <w:t xml:space="preserve"> – a program for investigating illegal drug activities.  Revenue source consists of proceeds from the sale of property seized during such investigations as ordered by the district court.   This fund must be authorized by the District Attorney.</w:t>
      </w:r>
    </w:p>
    <w:p w14:paraId="2153587F"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Emergency Management</w:t>
      </w:r>
      <w:r w:rsidRPr="004C3079">
        <w:rPr>
          <w:rFonts w:eastAsia="Calibri"/>
          <w:sz w:val="22"/>
          <w:szCs w:val="22"/>
          <w:highlight w:val="yellow"/>
        </w:rPr>
        <w:t xml:space="preserve"> – revenues from state or federal grants for the purpose of providing the county emergency management services.</w:t>
      </w:r>
    </w:p>
    <w:p w14:paraId="1576D290"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Flood Plain</w:t>
      </w:r>
      <w:r w:rsidRPr="004C3079">
        <w:rPr>
          <w:rFonts w:eastAsia="Calibri"/>
          <w:sz w:val="22"/>
          <w:szCs w:val="22"/>
          <w:highlight w:val="yellow"/>
        </w:rPr>
        <w:t xml:space="preserve"> – Boards of county commissioners are authorized to establish floodplain boards within their respective jurisdiction.  The purpose of a floodplain board is to minimize flood hazards and protect the natural and beneficial functions of the floodplain. The board may establish a fee not to exceed $500 to offset the costs of floodplain management.  </w:t>
      </w:r>
    </w:p>
    <w:p w14:paraId="0A788A4D"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lastRenderedPageBreak/>
        <w:t>Free Fair Board</w:t>
      </w:r>
      <w:r w:rsidRPr="004C3079">
        <w:rPr>
          <w:rFonts w:eastAsia="Calibri"/>
          <w:sz w:val="22"/>
          <w:szCs w:val="22"/>
          <w:highlight w:val="yellow"/>
        </w:rPr>
        <w:t xml:space="preserve"> – Revenue from advertising, rentals, and concessions during the county free fair, stock shows, and agricultural demonstrations held at the county fairgrounds. This revenue is used for premiums and other costs of hosting those events.</w:t>
      </w:r>
    </w:p>
    <w:p w14:paraId="4D5E50FD"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Free Fair Building Fund</w:t>
      </w:r>
      <w:r w:rsidRPr="004C3079">
        <w:rPr>
          <w:rFonts w:eastAsia="Calibri"/>
          <w:sz w:val="22"/>
          <w:szCs w:val="22"/>
          <w:highlight w:val="yellow"/>
        </w:rPr>
        <w:t xml:space="preserve"> – investment of revenue raised by levy or transferred from sinking funds of the county to fund improvements to real property used for free fair purposes.</w:t>
      </w:r>
    </w:p>
    <w:p w14:paraId="3655C969"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Health</w:t>
      </w:r>
      <w:r w:rsidRPr="004C3079">
        <w:rPr>
          <w:rFonts w:eastAsia="Calibri"/>
          <w:sz w:val="22"/>
          <w:szCs w:val="22"/>
          <w:highlight w:val="yellow"/>
        </w:rPr>
        <w:t xml:space="preserve"> – ad valorem tax levy for the purpose of aiding or maintaining a county department of health.</w:t>
      </w:r>
    </w:p>
    <w:p w14:paraId="141C904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Juvenile Detention</w:t>
      </w:r>
      <w:r w:rsidRPr="004C3079">
        <w:rPr>
          <w:rFonts w:eastAsia="Calibri"/>
          <w:sz w:val="22"/>
          <w:szCs w:val="22"/>
          <w:highlight w:val="yellow"/>
        </w:rPr>
        <w:t xml:space="preserve"> – contractual revenue or grant funds for employing a director and deputies of county juvenile facilities.</w:t>
      </w:r>
    </w:p>
    <w:p w14:paraId="26D779B7"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Local Emergency Planning Committee</w:t>
      </w:r>
      <w:r w:rsidRPr="004C3079">
        <w:rPr>
          <w:rFonts w:eastAsia="Calibri"/>
          <w:sz w:val="22"/>
          <w:szCs w:val="22"/>
          <w:highlight w:val="yellow"/>
        </w:rPr>
        <w:t xml:space="preserve"> – legislative appropriations to assist local emergency planning committees in the development of an emergency plan in accordance with the requirements of Title III of the Federal Superfund Amendments and Reauthorization Act.</w:t>
      </w:r>
    </w:p>
    <w:p w14:paraId="3365225F"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Planning and Zoning</w:t>
      </w:r>
      <w:r w:rsidRPr="004C3079">
        <w:rPr>
          <w:rFonts w:eastAsia="Calibri"/>
          <w:sz w:val="22"/>
          <w:szCs w:val="22"/>
          <w:highlight w:val="yellow"/>
        </w:rPr>
        <w:t xml:space="preserve"> – locally appropriated funds, grants, and/or other financial assistance from the state and federal government for creating a county planning commission.  The purpose of the commission is to cooperate with the State of Oklahoma in conserving the natural resources of the state, and in promoting the health, safety, peace, and general welfare of the people.</w:t>
      </w:r>
    </w:p>
    <w:p w14:paraId="49E45587"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Resale Property</w:t>
      </w:r>
      <w:r w:rsidRPr="004C3079">
        <w:rPr>
          <w:rFonts w:eastAsia="Calibri"/>
          <w:sz w:val="22"/>
          <w:szCs w:val="22"/>
          <w:highlight w:val="yellow"/>
        </w:rPr>
        <w:t xml:space="preserve"> – interest and penalties assessed on delinquent ad valorem tax payments as well as proceeds of selling real property in the county which has remained delinquent in ad valorem tax payments for three years.  The fund is utilized by the County Treasurer for offsetting the costs associated with the collection of delinquent ad valorem taxes.  </w:t>
      </w:r>
    </w:p>
    <w:p w14:paraId="57B1ECAA"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Reward fund</w:t>
      </w:r>
      <w:r w:rsidRPr="004C3079">
        <w:rPr>
          <w:rFonts w:eastAsia="Calibri"/>
          <w:sz w:val="22"/>
          <w:szCs w:val="22"/>
          <w:highlight w:val="yellow"/>
        </w:rPr>
        <w:t xml:space="preserve"> – revenue provided by fines assessed upon persons convicted of illegal dumping of trash, debris, waste, or other substances that may cause fire on public or private property.  The Board of County Commissioners may use this fund to offer and pay a reward to individuals offering information that leads to an arrest and conviction.  The fund may also be used for special enforcement programs related to investigating and/or preventing littering and illegal dumping.</w:t>
      </w:r>
    </w:p>
    <w:p w14:paraId="5FD120AE"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Solid Waste Management </w:t>
      </w:r>
      <w:r w:rsidRPr="004C3079">
        <w:rPr>
          <w:rFonts w:eastAsia="Calibri"/>
          <w:sz w:val="22"/>
          <w:szCs w:val="22"/>
          <w:highlight w:val="yellow"/>
        </w:rPr>
        <w:t>– revenue from fees, grants, and/or general fund appropriations for the purpose of operating a solid waste management facility.</w:t>
      </w:r>
    </w:p>
    <w:p w14:paraId="74DF94C4"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Treasurer Mortgage Certification </w:t>
      </w:r>
      <w:r w:rsidRPr="004C3079">
        <w:rPr>
          <w:rFonts w:eastAsia="Calibri"/>
          <w:sz w:val="22"/>
          <w:szCs w:val="22"/>
          <w:highlight w:val="yellow"/>
        </w:rPr>
        <w:t>– fees collected by the county treasurer for evaluating mortgages or other liens upon real property filed with the county for the purpose of collateralizing debt.  The fund is used for lawful operation of the county treasurer’s office.</w:t>
      </w:r>
    </w:p>
    <w:p w14:paraId="405B1013"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Lake Patrol </w:t>
      </w:r>
      <w:r w:rsidRPr="004C3079">
        <w:rPr>
          <w:rFonts w:eastAsia="Calibri"/>
          <w:sz w:val="22"/>
          <w:szCs w:val="22"/>
          <w:highlight w:val="yellow"/>
        </w:rPr>
        <w:t>– contracts with the U.S. Army Corps of Engineers for law enforcement coverage on the lakes.</w:t>
      </w:r>
    </w:p>
    <w:p w14:paraId="00847FE6"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lastRenderedPageBreak/>
        <w:t xml:space="preserve">Self-Insurance Program </w:t>
      </w:r>
      <w:r w:rsidRPr="004C3079">
        <w:rPr>
          <w:rFonts w:eastAsia="Calibri"/>
          <w:bCs/>
          <w:sz w:val="22"/>
          <w:szCs w:val="22"/>
          <w:highlight w:val="yellow"/>
        </w:rPr>
        <w:t>–</w:t>
      </w:r>
      <w:r w:rsidRPr="004C3079">
        <w:rPr>
          <w:rFonts w:eastAsia="Calibri"/>
          <w:b/>
          <w:sz w:val="22"/>
          <w:szCs w:val="22"/>
          <w:highlight w:val="yellow"/>
        </w:rPr>
        <w:t xml:space="preserve"> </w:t>
      </w:r>
      <w:r w:rsidRPr="004C3079">
        <w:rPr>
          <w:rFonts w:eastAsia="Calibri"/>
          <w:sz w:val="22"/>
          <w:szCs w:val="22"/>
          <w:highlight w:val="yellow"/>
        </w:rPr>
        <w:t xml:space="preserve">general fund appropriations, premiums, and interest income for the purpose of providing insurance to employees of the county.  </w:t>
      </w:r>
    </w:p>
    <w:p w14:paraId="762B499B"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County Donations</w:t>
      </w:r>
      <w:r w:rsidRPr="004C3079">
        <w:rPr>
          <w:rFonts w:eastAsia="Calibri"/>
          <w:sz w:val="22"/>
          <w:szCs w:val="22"/>
          <w:highlight w:val="yellow"/>
        </w:rPr>
        <w:t xml:space="preserve"> – revenue from private donors which is sometimes designated for a specific governmental purpose such as K-9 officers, road improvements, law enforcement equipment, improvements to fairgrounds, etc.  Donations restricted to a specific purpose by the donor are accounted for separately in sub-accounts (or departments) under the county donations fund to ensure they are used for the intended purposes.</w:t>
      </w:r>
    </w:p>
    <w:p w14:paraId="75B3C235"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Community Development Block Grants Revolving Fund </w:t>
      </w:r>
      <w:r w:rsidRPr="004C3079">
        <w:rPr>
          <w:rFonts w:eastAsia="Calibri"/>
          <w:sz w:val="22"/>
          <w:szCs w:val="22"/>
          <w:highlight w:val="yellow"/>
        </w:rPr>
        <w:t xml:space="preserve">– federal grants received from the Oklahoma Department of Commerce to be disbursed in accordance with the grant agreement.  </w:t>
      </w:r>
    </w:p>
    <w:p w14:paraId="0C2E5D39"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sz w:val="22"/>
          <w:szCs w:val="22"/>
          <w:highlight w:val="yellow"/>
        </w:rPr>
        <w:t xml:space="preserve">Rural Economic Action Plan Revolving Fund </w:t>
      </w:r>
      <w:r w:rsidRPr="004C3079">
        <w:rPr>
          <w:rFonts w:eastAsia="Calibri"/>
          <w:sz w:val="22"/>
          <w:szCs w:val="22"/>
          <w:highlight w:val="yellow"/>
        </w:rPr>
        <w:t xml:space="preserve">– revenue from the State of Oklahoma for the purpose of economic development.  </w:t>
      </w:r>
    </w:p>
    <w:p w14:paraId="69BB11D2" w14:textId="77777777" w:rsidR="004C3079" w:rsidRPr="004C3079" w:rsidRDefault="004C3079" w:rsidP="004C3079">
      <w:pPr>
        <w:keepLines/>
        <w:widowControl/>
        <w:autoSpaceDE/>
        <w:autoSpaceDN/>
        <w:adjustRightInd/>
        <w:spacing w:after="160" w:line="259" w:lineRule="auto"/>
        <w:ind w:left="720"/>
        <w:jc w:val="both"/>
        <w:rPr>
          <w:rFonts w:eastAsia="Calibri"/>
          <w:b/>
          <w:bCs/>
          <w:sz w:val="22"/>
          <w:szCs w:val="22"/>
          <w:highlight w:val="yellow"/>
        </w:rPr>
      </w:pPr>
      <w:r w:rsidRPr="004C3079">
        <w:rPr>
          <w:rFonts w:eastAsia="Calibri"/>
          <w:b/>
          <w:bCs/>
          <w:sz w:val="22"/>
          <w:szCs w:val="22"/>
          <w:highlight w:val="yellow"/>
        </w:rPr>
        <w:t>COVID Aid and Relief</w:t>
      </w:r>
      <w:r w:rsidRPr="004C3079">
        <w:rPr>
          <w:rFonts w:eastAsia="Calibri"/>
          <w:sz w:val="22"/>
          <w:szCs w:val="22"/>
          <w:highlight w:val="yellow"/>
        </w:rPr>
        <w:t xml:space="preserve"> – federal awards to state and local governments to offset expenses related to response and mitigation of COVID-19.  </w:t>
      </w:r>
      <w:r w:rsidRPr="004C3079">
        <w:rPr>
          <w:rFonts w:eastAsia="Calibri"/>
          <w:b/>
          <w:bCs/>
          <w:sz w:val="22"/>
          <w:szCs w:val="22"/>
          <w:highlight w:val="yellow"/>
        </w:rPr>
        <w:t xml:space="preserve"> </w:t>
      </w:r>
    </w:p>
    <w:p w14:paraId="48A79562"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bCs/>
          <w:sz w:val="22"/>
          <w:szCs w:val="22"/>
          <w:highlight w:val="yellow"/>
        </w:rPr>
        <w:t xml:space="preserve">American Rescue Plan Act of 2021 </w:t>
      </w:r>
      <w:r w:rsidRPr="004C3079">
        <w:rPr>
          <w:rFonts w:eastAsia="Calibri"/>
          <w:sz w:val="22"/>
          <w:szCs w:val="22"/>
          <w:highlight w:val="yellow"/>
        </w:rPr>
        <w:t xml:space="preserve">(State and Local Fiscal Recovery Funds) – federal funds made available to state and local governments for recovery from the economic impacts of COVID-19.  </w:t>
      </w:r>
    </w:p>
    <w:p w14:paraId="601AA040"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bCs/>
          <w:sz w:val="22"/>
          <w:szCs w:val="22"/>
          <w:highlight w:val="yellow"/>
        </w:rPr>
        <w:t xml:space="preserve">E-911 Funding Sustainability Grant </w:t>
      </w:r>
      <w:r w:rsidRPr="004C3079">
        <w:rPr>
          <w:rFonts w:eastAsia="Calibri"/>
          <w:sz w:val="22"/>
          <w:szCs w:val="22"/>
          <w:highlight w:val="yellow"/>
        </w:rPr>
        <w:t>–</w:t>
      </w:r>
      <w:r w:rsidRPr="004C3079">
        <w:rPr>
          <w:rFonts w:eastAsia="Calibri"/>
          <w:b/>
          <w:bCs/>
          <w:sz w:val="22"/>
          <w:szCs w:val="22"/>
          <w:highlight w:val="yellow"/>
        </w:rPr>
        <w:t xml:space="preserve"> </w:t>
      </w:r>
      <w:r w:rsidRPr="004C3079">
        <w:rPr>
          <w:rFonts w:eastAsia="Calibri"/>
          <w:sz w:val="22"/>
          <w:szCs w:val="22"/>
          <w:highlight w:val="yellow"/>
        </w:rPr>
        <w:t xml:space="preserve">grants administered by the Oklahoma 9-1-1 Management Authority for improving emergency response systems throughout the State.  </w:t>
      </w:r>
    </w:p>
    <w:p w14:paraId="7882944F"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bCs/>
          <w:sz w:val="22"/>
          <w:szCs w:val="22"/>
          <w:highlight w:val="yellow"/>
        </w:rPr>
        <w:t xml:space="preserve">Local Assistance and Tribal Consistency Fund (LATCF) </w:t>
      </w:r>
      <w:r w:rsidRPr="004C3079">
        <w:rPr>
          <w:rFonts w:eastAsia="Calibri"/>
          <w:sz w:val="22"/>
          <w:szCs w:val="22"/>
          <w:highlight w:val="yellow"/>
        </w:rPr>
        <w:t xml:space="preserve">– federal funding made available through the American Rescue Plan Act to be used in the same manner as other locally generated revenues.  </w:t>
      </w:r>
    </w:p>
    <w:p w14:paraId="44808B77"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highlight w:val="yellow"/>
        </w:rPr>
      </w:pPr>
      <w:r w:rsidRPr="004C3079">
        <w:rPr>
          <w:rFonts w:eastAsia="Calibri"/>
          <w:b/>
          <w:bCs/>
          <w:sz w:val="22"/>
          <w:szCs w:val="22"/>
          <w:highlight w:val="yellow"/>
        </w:rPr>
        <w:t>Opioid Abatement Settlement</w:t>
      </w:r>
      <w:r w:rsidRPr="004C3079">
        <w:rPr>
          <w:rFonts w:eastAsia="Calibri"/>
          <w:sz w:val="22"/>
          <w:szCs w:val="22"/>
          <w:highlight w:val="yellow"/>
        </w:rPr>
        <w:t xml:space="preserve"> – court settlement from class-action lawsuits against opioid manufacturers and distributors.  Funding is to be used in accordance with the settlement agreement for opioid abatement.</w:t>
      </w:r>
    </w:p>
    <w:p w14:paraId="12733C4F" w14:textId="77777777" w:rsidR="004C3079" w:rsidRPr="004C3079" w:rsidRDefault="004C3079" w:rsidP="004C3079">
      <w:pPr>
        <w:keepLines/>
        <w:widowControl/>
        <w:autoSpaceDE/>
        <w:autoSpaceDN/>
        <w:adjustRightInd/>
        <w:spacing w:after="160" w:line="259" w:lineRule="auto"/>
        <w:ind w:left="720"/>
        <w:jc w:val="both"/>
        <w:rPr>
          <w:rFonts w:eastAsia="Calibri"/>
          <w:sz w:val="22"/>
          <w:szCs w:val="22"/>
        </w:rPr>
      </w:pPr>
      <w:r w:rsidRPr="004C3079">
        <w:rPr>
          <w:rFonts w:eastAsia="Calibri"/>
          <w:b/>
          <w:bCs/>
          <w:sz w:val="22"/>
          <w:szCs w:val="22"/>
          <w:highlight w:val="yellow"/>
        </w:rPr>
        <w:t>JUUL E</w:t>
      </w:r>
      <w:r w:rsidRPr="004C3079">
        <w:rPr>
          <w:rFonts w:eastAsia="Calibri"/>
          <w:sz w:val="22"/>
          <w:szCs w:val="22"/>
          <w:highlight w:val="yellow"/>
        </w:rPr>
        <w:t>-</w:t>
      </w:r>
      <w:r w:rsidRPr="004C3079">
        <w:rPr>
          <w:rFonts w:eastAsia="Calibri"/>
          <w:b/>
          <w:bCs/>
          <w:sz w:val="22"/>
          <w:szCs w:val="22"/>
          <w:highlight w:val="yellow"/>
        </w:rPr>
        <w:t xml:space="preserve">Cigarette Settlement </w:t>
      </w:r>
      <w:r w:rsidRPr="004C3079">
        <w:rPr>
          <w:rFonts w:eastAsia="Calibri"/>
          <w:sz w:val="22"/>
          <w:szCs w:val="22"/>
          <w:highlight w:val="yellow"/>
        </w:rPr>
        <w:t>– court settlement from class-action lawsuits against electronic cigarette manufacturers for damages caused by youth vaping and nicotine addiction.  Proceeds to be used for youth vaping prevention and cessation programs in accordance with the settlement agreement.</w:t>
      </w:r>
      <w:r w:rsidRPr="004C3079">
        <w:rPr>
          <w:rFonts w:eastAsia="Calibri"/>
          <w:sz w:val="22"/>
          <w:szCs w:val="22"/>
        </w:rPr>
        <w:t xml:space="preserve"> </w:t>
      </w:r>
    </w:p>
    <w:p w14:paraId="2BD95650" w14:textId="4BD1161A" w:rsidR="00B4342B" w:rsidRPr="00E91F6E" w:rsidRDefault="00B4342B" w:rsidP="000D3BEC">
      <w:pPr>
        <w:pStyle w:val="BodyTextIndent3"/>
        <w:ind w:left="1080"/>
      </w:pPr>
    </w:p>
    <w:p w14:paraId="2FD9851F" w14:textId="5FA3D2EE" w:rsidR="00E91F6E" w:rsidRDefault="00E91F6E">
      <w:pPr>
        <w:widowControl/>
        <w:autoSpaceDE/>
        <w:autoSpaceDN/>
        <w:adjustRightInd/>
        <w:rPr>
          <w:sz w:val="22"/>
          <w:szCs w:val="22"/>
        </w:rPr>
      </w:pPr>
      <w:r>
        <w:rPr>
          <w:sz w:val="22"/>
          <w:szCs w:val="22"/>
        </w:rPr>
        <w:br w:type="page"/>
      </w:r>
    </w:p>
    <w:p w14:paraId="2ADFEC0C" w14:textId="77777777" w:rsidR="005364BE" w:rsidRPr="00E91F6E" w:rsidRDefault="005364BE" w:rsidP="000D3BEC">
      <w:pPr>
        <w:widowControl/>
        <w:ind w:left="720"/>
        <w:jc w:val="both"/>
        <w:rPr>
          <w:sz w:val="22"/>
          <w:szCs w:val="22"/>
        </w:rPr>
      </w:pPr>
    </w:p>
    <w:p w14:paraId="3C909FBA" w14:textId="508E7036" w:rsidR="00B25EE0" w:rsidRPr="00E91F6E" w:rsidRDefault="00F85C69" w:rsidP="000D3BEC">
      <w:pPr>
        <w:widowControl/>
        <w:ind w:left="720"/>
        <w:jc w:val="both"/>
        <w:rPr>
          <w:sz w:val="22"/>
          <w:szCs w:val="22"/>
        </w:rPr>
      </w:pPr>
      <w:r w:rsidRPr="00E91F6E">
        <w:rPr>
          <w:b/>
          <w:sz w:val="22"/>
          <w:szCs w:val="22"/>
          <w:highlight w:val="green"/>
        </w:rPr>
        <w:t>The basis of accounting</w:t>
      </w:r>
      <w:r w:rsidR="0068020D" w:rsidRPr="00E91F6E">
        <w:rPr>
          <w:b/>
          <w:sz w:val="22"/>
          <w:szCs w:val="22"/>
          <w:highlight w:val="green"/>
        </w:rPr>
        <w:t xml:space="preserve"> disclosur</w:t>
      </w:r>
      <w:r w:rsidRPr="00E91F6E">
        <w:rPr>
          <w:b/>
          <w:sz w:val="22"/>
          <w:szCs w:val="22"/>
          <w:highlight w:val="green"/>
        </w:rPr>
        <w:t xml:space="preserve">e describes the time-period in which transactions are reported </w:t>
      </w:r>
      <w:r w:rsidR="009366B9" w:rsidRPr="00E91F6E">
        <w:rPr>
          <w:b/>
          <w:sz w:val="22"/>
          <w:szCs w:val="22"/>
          <w:highlight w:val="green"/>
        </w:rPr>
        <w:t>i</w:t>
      </w:r>
      <w:r w:rsidRPr="00E91F6E">
        <w:rPr>
          <w:b/>
          <w:sz w:val="22"/>
          <w:szCs w:val="22"/>
          <w:highlight w:val="green"/>
        </w:rPr>
        <w:t>n the financial statement</w:t>
      </w:r>
      <w:r w:rsidR="009366B9" w:rsidRPr="00E91F6E">
        <w:rPr>
          <w:b/>
          <w:sz w:val="22"/>
          <w:szCs w:val="22"/>
          <w:highlight w:val="green"/>
        </w:rPr>
        <w:t xml:space="preserve">.  This template uses a regulatory basis of accounting, in accordance with </w:t>
      </w:r>
      <w:hyperlink r:id="rId30" w:history="1">
        <w:r w:rsidR="00D42051" w:rsidRPr="00E91F6E">
          <w:rPr>
            <w:rStyle w:val="Hyperlink"/>
            <w:b/>
            <w:sz w:val="22"/>
            <w:szCs w:val="22"/>
            <w:highlight w:val="green"/>
          </w:rPr>
          <w:t>Title 19 O.S. § 171</w:t>
        </w:r>
      </w:hyperlink>
      <w:r w:rsidR="009366B9" w:rsidRPr="00E91F6E">
        <w:rPr>
          <w:b/>
          <w:sz w:val="22"/>
          <w:szCs w:val="22"/>
          <w:highlight w:val="green"/>
        </w:rPr>
        <w:t>.  The disclosure notes that all funds not included in the financial statement are to be presented in “the aggregate in a combining statement.”  For the purposes of this template, all County Funds have been included in the financial statement on pag</w:t>
      </w:r>
      <w:r w:rsidR="00D9668C" w:rsidRPr="00E91F6E">
        <w:rPr>
          <w:b/>
          <w:sz w:val="22"/>
          <w:szCs w:val="22"/>
          <w:highlight w:val="green"/>
        </w:rPr>
        <w:t>e 7</w:t>
      </w:r>
      <w:r w:rsidR="009366B9" w:rsidRPr="00E91F6E">
        <w:rPr>
          <w:b/>
          <w:sz w:val="22"/>
          <w:szCs w:val="22"/>
          <w:highlight w:val="green"/>
        </w:rPr>
        <w:t xml:space="preserve"> and, as such, no combining statement for remaining aggregate funds is required.</w:t>
      </w:r>
    </w:p>
    <w:p w14:paraId="46D4BDF8" w14:textId="77777777" w:rsidR="005364BE" w:rsidRPr="00E91F6E" w:rsidRDefault="005364BE" w:rsidP="00B25EE0">
      <w:pPr>
        <w:pStyle w:val="ListParagraph"/>
        <w:numPr>
          <w:ilvl w:val="0"/>
          <w:numId w:val="9"/>
        </w:numPr>
        <w:autoSpaceDE/>
        <w:autoSpaceDN/>
        <w:spacing w:line="276" w:lineRule="auto"/>
        <w:jc w:val="both"/>
        <w:rPr>
          <w:b/>
          <w:sz w:val="22"/>
          <w:szCs w:val="22"/>
          <w:u w:val="single"/>
        </w:rPr>
      </w:pPr>
      <w:r w:rsidRPr="00E91F6E">
        <w:rPr>
          <w:b/>
          <w:sz w:val="22"/>
          <w:szCs w:val="22"/>
          <w:u w:val="single"/>
        </w:rPr>
        <w:t>Basis of Accounting</w:t>
      </w:r>
    </w:p>
    <w:p w14:paraId="10D543A7" w14:textId="77777777" w:rsidR="00B25EE0" w:rsidRPr="00E91F6E" w:rsidRDefault="00B25EE0" w:rsidP="000D3BEC">
      <w:pPr>
        <w:widowControl/>
        <w:ind w:left="720"/>
        <w:jc w:val="both"/>
        <w:rPr>
          <w:sz w:val="22"/>
          <w:szCs w:val="22"/>
        </w:rPr>
      </w:pPr>
    </w:p>
    <w:p w14:paraId="6A88A669" w14:textId="0615E3EA" w:rsidR="005364BE" w:rsidRPr="00E91F6E" w:rsidRDefault="005364BE" w:rsidP="000D3BEC">
      <w:pPr>
        <w:widowControl/>
        <w:ind w:left="720"/>
        <w:jc w:val="both"/>
        <w:rPr>
          <w:sz w:val="22"/>
          <w:szCs w:val="22"/>
        </w:rPr>
      </w:pPr>
      <w:r w:rsidRPr="00E91F6E">
        <w:rPr>
          <w:sz w:val="22"/>
          <w:szCs w:val="22"/>
        </w:rPr>
        <w:t xml:space="preserve">The financial statement is prepared on a basis of accounting wherein amounts are recognized when received or disbursed.  This basis of accounting differs from accounting principles generally accepted in the United States of America, which require revenues to be recognized when they become available and measurable or when they are earned, and expenditures or expenses to be recognized when the related liabilities are incurred.  This </w:t>
      </w:r>
      <w:r w:rsidR="00C57415" w:rsidRPr="00E91F6E">
        <w:rPr>
          <w:sz w:val="22"/>
          <w:szCs w:val="22"/>
        </w:rPr>
        <w:t>regulatory</w:t>
      </w:r>
      <w:r w:rsidRPr="00E91F6E">
        <w:rPr>
          <w:sz w:val="22"/>
          <w:szCs w:val="22"/>
        </w:rPr>
        <w:t xml:space="preserve"> basis financial presentation is not a comprehensive measure of economic condition or changes therein.</w:t>
      </w:r>
      <w:r w:rsidR="00C57415" w:rsidRPr="00E91F6E">
        <w:rPr>
          <w:sz w:val="22"/>
          <w:szCs w:val="22"/>
        </w:rPr>
        <w:t xml:space="preserve">  </w:t>
      </w:r>
    </w:p>
    <w:p w14:paraId="176509C0" w14:textId="77777777" w:rsidR="00C57415" w:rsidRPr="00E91F6E" w:rsidRDefault="00C57415" w:rsidP="000D3BEC">
      <w:pPr>
        <w:widowControl/>
        <w:ind w:left="720"/>
        <w:jc w:val="both"/>
        <w:rPr>
          <w:sz w:val="22"/>
          <w:szCs w:val="22"/>
        </w:rPr>
      </w:pPr>
    </w:p>
    <w:p w14:paraId="1A33CB0B" w14:textId="3B63C1B4" w:rsidR="00F34613" w:rsidRPr="00E91F6E" w:rsidRDefault="00000000" w:rsidP="000D3BEC">
      <w:pPr>
        <w:widowControl/>
        <w:ind w:left="720"/>
        <w:jc w:val="both"/>
        <w:rPr>
          <w:sz w:val="22"/>
          <w:szCs w:val="22"/>
        </w:rPr>
      </w:pPr>
      <w:hyperlink r:id="rId31" w:history="1">
        <w:r w:rsidR="0065507A" w:rsidRPr="00E91F6E">
          <w:rPr>
            <w:rStyle w:val="Hyperlink"/>
            <w:sz w:val="22"/>
            <w:szCs w:val="22"/>
          </w:rPr>
          <w:t>Title 19 O.S. § 171</w:t>
        </w:r>
      </w:hyperlink>
      <w:r w:rsidR="0065507A" w:rsidRPr="00E91F6E">
        <w:rPr>
          <w:sz w:val="22"/>
          <w:szCs w:val="22"/>
        </w:rPr>
        <w:t xml:space="preserve"> specifies the format and presentation for Oklahoma counties to present their financial statement in accordance with accounting principles generally accepted in the United States of America (U.S. GAAP) or on a regulatory basis.  The County has elected to present their financial statement on a regulatory basis in conformity with </w:t>
      </w:r>
      <w:hyperlink r:id="rId32" w:history="1">
        <w:r w:rsidR="0065507A" w:rsidRPr="00E91F6E">
          <w:rPr>
            <w:rStyle w:val="Hyperlink"/>
            <w:sz w:val="22"/>
            <w:szCs w:val="22"/>
          </w:rPr>
          <w:t>Title 19 O.S. § 171</w:t>
        </w:r>
      </w:hyperlink>
      <w:r w:rsidR="0065507A" w:rsidRPr="00E91F6E">
        <w:rPr>
          <w:sz w:val="22"/>
          <w:szCs w:val="22"/>
        </w:rPr>
        <w:t>.  County governments (primary only) are required to present their financial statements on a fund basis format with, at a minimum, the general fund and all other county funds, which represent ten percent or greater of total county revenue.</w:t>
      </w:r>
      <w:r w:rsidR="00F71C79" w:rsidRPr="00E91F6E">
        <w:rPr>
          <w:sz w:val="22"/>
          <w:szCs w:val="22"/>
        </w:rPr>
        <w:t xml:space="preserve"> </w:t>
      </w:r>
      <w:r w:rsidR="0065507A" w:rsidRPr="00E91F6E">
        <w:rPr>
          <w:sz w:val="22"/>
          <w:szCs w:val="22"/>
        </w:rPr>
        <w:t xml:space="preserve"> All other funds included in the audit shall be presented in the aggregate in a combining statement.</w:t>
      </w:r>
      <w:r w:rsidR="005203DC" w:rsidRPr="00E91F6E">
        <w:rPr>
          <w:sz w:val="22"/>
          <w:szCs w:val="22"/>
        </w:rPr>
        <w:t xml:space="preserve">  However, the County has elected to present all funds included in the audit in the Statement of Receipts, Disbursements, and Changes in Cash Balances—Regulatory Basis.</w:t>
      </w:r>
    </w:p>
    <w:p w14:paraId="500112A0" w14:textId="76B56C2D" w:rsidR="00F33D2F" w:rsidRPr="00E91F6E" w:rsidRDefault="00F33D2F" w:rsidP="000D3BEC">
      <w:pPr>
        <w:widowControl/>
        <w:autoSpaceDE/>
        <w:autoSpaceDN/>
        <w:adjustRightInd/>
        <w:rPr>
          <w:sz w:val="22"/>
          <w:szCs w:val="22"/>
        </w:rPr>
      </w:pPr>
    </w:p>
    <w:p w14:paraId="290403D8" w14:textId="00FC09D6" w:rsidR="00B25EE0" w:rsidRPr="00E91F6E" w:rsidRDefault="00F234B1" w:rsidP="002963D3">
      <w:pPr>
        <w:widowControl/>
        <w:autoSpaceDE/>
        <w:autoSpaceDN/>
        <w:adjustRightInd/>
        <w:ind w:left="720"/>
        <w:jc w:val="both"/>
        <w:rPr>
          <w:sz w:val="22"/>
          <w:szCs w:val="22"/>
        </w:rPr>
      </w:pPr>
      <w:r w:rsidRPr="00E91F6E">
        <w:rPr>
          <w:b/>
          <w:sz w:val="22"/>
          <w:szCs w:val="22"/>
          <w:highlight w:val="green"/>
        </w:rPr>
        <w:t>The budget</w:t>
      </w:r>
      <w:r w:rsidR="0068020D" w:rsidRPr="00E91F6E">
        <w:rPr>
          <w:b/>
          <w:sz w:val="22"/>
          <w:szCs w:val="22"/>
          <w:highlight w:val="green"/>
        </w:rPr>
        <w:t xml:space="preserve"> disclosur</w:t>
      </w:r>
      <w:r w:rsidRPr="00E91F6E">
        <w:rPr>
          <w:b/>
          <w:sz w:val="22"/>
          <w:szCs w:val="22"/>
          <w:highlight w:val="green"/>
        </w:rPr>
        <w:t>e</w:t>
      </w:r>
      <w:r w:rsidR="00C45659" w:rsidRPr="00E91F6E">
        <w:rPr>
          <w:b/>
          <w:sz w:val="22"/>
          <w:szCs w:val="22"/>
          <w:highlight w:val="green"/>
        </w:rPr>
        <w:t xml:space="preserve"> describes the County’s budget </w:t>
      </w:r>
      <w:r w:rsidR="002963D3" w:rsidRPr="00E91F6E">
        <w:rPr>
          <w:b/>
          <w:sz w:val="22"/>
          <w:szCs w:val="22"/>
          <w:highlight w:val="green"/>
        </w:rPr>
        <w:t>method as either a Budget Board or Non-Budget Board method.  Under the Budget Board method, a Budget Board, not the Board of County Commissioners, considers the estimates of needs and prepares the proposed budget to present to the County Excise Board.  Under a Non-Budget Board method, the Board of County Commissioners prepares and submits estimates of needs for the County to the County Excise Board</w:t>
      </w:r>
      <w:r w:rsidRPr="00E91F6E">
        <w:rPr>
          <w:b/>
          <w:sz w:val="22"/>
          <w:szCs w:val="22"/>
          <w:highlight w:val="green"/>
        </w:rPr>
        <w:t>.</w:t>
      </w:r>
    </w:p>
    <w:p w14:paraId="543475B7" w14:textId="77777777" w:rsidR="005364BE" w:rsidRPr="00E91F6E" w:rsidRDefault="005364BE" w:rsidP="000D3BEC">
      <w:pPr>
        <w:pStyle w:val="ListParagraph"/>
        <w:numPr>
          <w:ilvl w:val="0"/>
          <w:numId w:val="9"/>
        </w:numPr>
        <w:jc w:val="both"/>
        <w:rPr>
          <w:b/>
          <w:sz w:val="22"/>
          <w:u w:val="single"/>
        </w:rPr>
      </w:pPr>
      <w:r w:rsidRPr="00E91F6E">
        <w:rPr>
          <w:b/>
          <w:sz w:val="22"/>
          <w:u w:val="single"/>
        </w:rPr>
        <w:t>Budget</w:t>
      </w:r>
    </w:p>
    <w:p w14:paraId="7B94D567" w14:textId="77777777" w:rsidR="005364BE" w:rsidRPr="00E91F6E" w:rsidRDefault="005364BE" w:rsidP="000D3BEC">
      <w:pPr>
        <w:widowControl/>
        <w:jc w:val="both"/>
        <w:rPr>
          <w:sz w:val="22"/>
          <w:u w:val="single"/>
        </w:rPr>
      </w:pPr>
    </w:p>
    <w:p w14:paraId="15B4BE2C" w14:textId="70F25DB6" w:rsidR="002963D3" w:rsidRPr="00E91F6E" w:rsidRDefault="002963D3"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szCs w:val="22"/>
          <w:highlight w:val="yellow"/>
        </w:rPr>
      </w:pPr>
      <w:r w:rsidRPr="00E91F6E">
        <w:rPr>
          <w:b/>
          <w:sz w:val="22"/>
          <w:szCs w:val="22"/>
          <w:highlight w:val="green"/>
        </w:rPr>
        <w:t>If the County uses the Budget Board method, the following paragraph should be used.</w:t>
      </w:r>
    </w:p>
    <w:p w14:paraId="00B059DB"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r w:rsidRPr="00E91F6E">
        <w:rPr>
          <w:sz w:val="22"/>
          <w:szCs w:val="22"/>
        </w:rPr>
        <w:t>Under current Oklahoma Statutes, a general fund and a county health department fund are the only funds required to adopt a formal budget.</w:t>
      </w:r>
      <w:r w:rsidRPr="00E91F6E">
        <w:t xml:space="preserve">  </w:t>
      </w:r>
      <w:r w:rsidRPr="00E91F6E">
        <w:rPr>
          <w:sz w:val="22"/>
        </w:rPr>
        <w:t xml:space="preserve">On or before May 31 of each year, each officer or department head submits an estimate of needs (budget) to the governing body. </w:t>
      </w:r>
      <w:r w:rsidRPr="00E91F6E">
        <w:rPr>
          <w:sz w:val="22"/>
          <w:szCs w:val="22"/>
        </w:rPr>
        <w:t xml:space="preserve">The budget is approved for the respective fund by office, or department and object. </w:t>
      </w:r>
      <w:r w:rsidRPr="00E91F6E">
        <w:rPr>
          <w:sz w:val="22"/>
        </w:rPr>
        <w:t xml:space="preserve">Within weeks, the County Budget Board may approve changes of appropriations within the fund by office or department and object.  </w:t>
      </w:r>
    </w:p>
    <w:p w14:paraId="0873D611" w14:textId="77777777" w:rsidR="005364BE" w:rsidRPr="00E91F6E" w:rsidRDefault="005364BE" w:rsidP="000D3BEC">
      <w:pPr>
        <w:widowControl/>
        <w:ind w:left="720"/>
        <w:jc w:val="both"/>
        <w:rPr>
          <w:sz w:val="22"/>
        </w:rPr>
      </w:pPr>
    </w:p>
    <w:p w14:paraId="5EE803CC" w14:textId="023AF414" w:rsidR="005364BE" w:rsidRPr="00E91F6E" w:rsidRDefault="009A7EFF" w:rsidP="000D3BEC">
      <w:pPr>
        <w:widowControl/>
        <w:ind w:left="720"/>
        <w:jc w:val="both"/>
        <w:rPr>
          <w:sz w:val="22"/>
        </w:rPr>
      </w:pPr>
      <w:r w:rsidRPr="00E91F6E">
        <w:rPr>
          <w:b/>
          <w:sz w:val="22"/>
          <w:szCs w:val="22"/>
          <w:highlight w:val="green"/>
        </w:rPr>
        <w:t>If the County uses the Non-Budget Board method, the following paragraph should be used.</w:t>
      </w:r>
    </w:p>
    <w:p w14:paraId="05E6823E" w14:textId="77777777" w:rsidR="005364BE" w:rsidRPr="00E91F6E" w:rsidRDefault="005364BE" w:rsidP="000D3BEC">
      <w:pPr>
        <w:widowControl/>
        <w:ind w:left="720"/>
        <w:jc w:val="both"/>
        <w:rPr>
          <w:sz w:val="22"/>
        </w:rPr>
      </w:pPr>
      <w:r w:rsidRPr="00E91F6E">
        <w:rPr>
          <w:sz w:val="22"/>
          <w:szCs w:val="22"/>
        </w:rPr>
        <w:t>Under current Oklahoma Statutes, a general fund and a county health department fund are the only funds required to adopt a formal budget.  On or before the first Monday in July of each year, each officer or department head submits an estimate of needs to the governing body. The budget is approved for the respective fund by office, or department and object. The County Board of Commissioners may approve changes of appropriations within the fund by office or department and object.  To increase or decrease the budget by fund requires approval by the County Excise Board.</w:t>
      </w:r>
    </w:p>
    <w:p w14:paraId="771F2723" w14:textId="193F34E2" w:rsidR="005364BE" w:rsidRPr="00E91F6E" w:rsidRDefault="005364BE" w:rsidP="000D3BEC">
      <w:pPr>
        <w:widowControl/>
        <w:ind w:left="720"/>
        <w:jc w:val="both"/>
        <w:rPr>
          <w:b/>
          <w:sz w:val="22"/>
        </w:rPr>
      </w:pPr>
    </w:p>
    <w:p w14:paraId="28DC8FF4" w14:textId="112D9E13" w:rsidR="00B25EE0" w:rsidRPr="00E91F6E" w:rsidRDefault="0068020D" w:rsidP="00A902D8">
      <w:pPr>
        <w:widowControl/>
        <w:ind w:left="720"/>
        <w:jc w:val="both"/>
        <w:rPr>
          <w:b/>
          <w:sz w:val="22"/>
        </w:rPr>
      </w:pPr>
      <w:r w:rsidRPr="00E91F6E">
        <w:rPr>
          <w:b/>
          <w:sz w:val="22"/>
          <w:szCs w:val="22"/>
          <w:highlight w:val="green"/>
        </w:rPr>
        <w:t xml:space="preserve">The </w:t>
      </w:r>
      <w:r w:rsidR="00BC7354" w:rsidRPr="00E91F6E">
        <w:rPr>
          <w:b/>
          <w:sz w:val="22"/>
          <w:szCs w:val="22"/>
          <w:highlight w:val="green"/>
        </w:rPr>
        <w:t>cash and investments</w:t>
      </w:r>
      <w:r w:rsidRPr="00E91F6E">
        <w:rPr>
          <w:b/>
          <w:sz w:val="22"/>
          <w:szCs w:val="22"/>
          <w:highlight w:val="green"/>
        </w:rPr>
        <w:t xml:space="preserve"> disclosur</w:t>
      </w:r>
      <w:r w:rsidR="00BC7354" w:rsidRPr="00E91F6E">
        <w:rPr>
          <w:b/>
          <w:sz w:val="22"/>
          <w:szCs w:val="22"/>
          <w:highlight w:val="green"/>
        </w:rPr>
        <w:t xml:space="preserve">e provides basic information on the cash and investments of the County.  </w:t>
      </w:r>
      <w:r w:rsidR="0013039E" w:rsidRPr="00E91F6E">
        <w:rPr>
          <w:b/>
          <w:sz w:val="22"/>
          <w:szCs w:val="22"/>
          <w:highlight w:val="green"/>
        </w:rPr>
        <w:t>If t</w:t>
      </w:r>
      <w:r w:rsidR="00A902D8" w:rsidRPr="00E91F6E">
        <w:rPr>
          <w:b/>
          <w:sz w:val="22"/>
          <w:szCs w:val="22"/>
          <w:highlight w:val="green"/>
        </w:rPr>
        <w:t xml:space="preserve">he County has no investments </w:t>
      </w:r>
      <w:r w:rsidR="00BC7354" w:rsidRPr="00E91F6E">
        <w:rPr>
          <w:b/>
          <w:sz w:val="22"/>
          <w:szCs w:val="22"/>
          <w:highlight w:val="green"/>
        </w:rPr>
        <w:t>all references to investments highlighted in yellow should be removed</w:t>
      </w:r>
      <w:r w:rsidR="00A902D8" w:rsidRPr="00E91F6E">
        <w:rPr>
          <w:b/>
          <w:sz w:val="22"/>
          <w:szCs w:val="22"/>
          <w:highlight w:val="green"/>
        </w:rPr>
        <w:t>.</w:t>
      </w:r>
    </w:p>
    <w:p w14:paraId="012D66C6" w14:textId="77777777" w:rsidR="005364BE" w:rsidRPr="00E91F6E" w:rsidRDefault="005364BE" w:rsidP="000D3BEC">
      <w:pPr>
        <w:pStyle w:val="ListParagraph"/>
        <w:numPr>
          <w:ilvl w:val="0"/>
          <w:numId w:val="9"/>
        </w:numPr>
        <w:jc w:val="both"/>
        <w:rPr>
          <w:b/>
          <w:sz w:val="22"/>
        </w:rPr>
      </w:pPr>
      <w:r w:rsidRPr="00E91F6E">
        <w:rPr>
          <w:b/>
          <w:sz w:val="22"/>
          <w:u w:val="single"/>
        </w:rPr>
        <w:t xml:space="preserve">Cash </w:t>
      </w:r>
      <w:r w:rsidRPr="00E91F6E">
        <w:rPr>
          <w:b/>
          <w:sz w:val="22"/>
          <w:highlight w:val="yellow"/>
          <w:u w:val="single"/>
        </w:rPr>
        <w:t>and Investments</w:t>
      </w:r>
    </w:p>
    <w:p w14:paraId="45CC738D" w14:textId="77777777" w:rsidR="005364BE" w:rsidRPr="00E91F6E" w:rsidRDefault="005364BE" w:rsidP="000D3BEC">
      <w:pPr>
        <w:widowControl/>
        <w:jc w:val="both"/>
        <w:rPr>
          <w:sz w:val="22"/>
        </w:rPr>
      </w:pPr>
    </w:p>
    <w:p w14:paraId="4F79B5D9" w14:textId="77777777" w:rsidR="009C2146" w:rsidRPr="00E91F6E" w:rsidRDefault="009C2146" w:rsidP="009C2146">
      <w:pPr>
        <w:widowControl/>
        <w:ind w:left="720"/>
        <w:jc w:val="both"/>
        <w:rPr>
          <w:sz w:val="22"/>
        </w:rPr>
      </w:pPr>
      <w:r w:rsidRPr="00E91F6E">
        <w:rPr>
          <w:sz w:val="22"/>
        </w:rPr>
        <w:t xml:space="preserve">For the purposes of financial reporting, “Ending Cash Balances, June 30” includes cash and cash equivalents </w:t>
      </w:r>
      <w:r w:rsidRPr="00E91F6E">
        <w:rPr>
          <w:sz w:val="22"/>
          <w:highlight w:val="yellow"/>
        </w:rPr>
        <w:t>and investments</w:t>
      </w:r>
      <w:r w:rsidRPr="00E91F6E">
        <w:rPr>
          <w:sz w:val="22"/>
        </w:rPr>
        <w:t xml:space="preserve"> as allowed by statutes.  The County pools the cash of its various funds in maintaining its bank accounts.  However, cash applicable to a particular fund is readily identifiable on the County’s books.  The balance in the pooled cash accounts is available to meet current operating requirements.  </w:t>
      </w:r>
    </w:p>
    <w:p w14:paraId="0B423208" w14:textId="77777777" w:rsidR="009C2146" w:rsidRPr="00E91F6E" w:rsidRDefault="009C2146" w:rsidP="009C2146">
      <w:pPr>
        <w:widowControl/>
        <w:jc w:val="both"/>
        <w:rPr>
          <w:sz w:val="22"/>
        </w:rPr>
      </w:pPr>
    </w:p>
    <w:p w14:paraId="05861B7A" w14:textId="77777777" w:rsidR="009C2146" w:rsidRPr="00E91F6E" w:rsidRDefault="009C2146" w:rsidP="009C2146">
      <w:pPr>
        <w:widowControl/>
        <w:ind w:left="720"/>
        <w:jc w:val="both"/>
        <w:rPr>
          <w:sz w:val="22"/>
        </w:rPr>
      </w:pPr>
      <w:r w:rsidRPr="00E91F6E">
        <w:rPr>
          <w:sz w:val="22"/>
        </w:rPr>
        <w:t xml:space="preserve">State statutes require financial institutions with which the County maintains funds to deposit collateral securities to secure the County’s deposits.  The amount of collateral securities to be pledged is established by the </w:t>
      </w:r>
      <w:smartTag w:uri="urn:schemas-microsoft-com:office:smarttags" w:element="place">
        <w:smartTag w:uri="urn:schemas-microsoft-com:office:smarttags" w:element="PlaceType">
          <w:smartTag w:uri="urn:schemas-microsoft-com:office:smarttags" w:element="PlaceType">
            <w:r w:rsidRPr="00E91F6E">
              <w:rPr>
                <w:sz w:val="22"/>
              </w:rPr>
              <w:t>County</w:t>
            </w:r>
          </w:smartTag>
          <w:r w:rsidRPr="00E91F6E">
            <w:rPr>
              <w:sz w:val="22"/>
            </w:rPr>
            <w:t xml:space="preserve"> </w:t>
          </w:r>
          <w:smartTag w:uri="urn:schemas-microsoft-com:office:smarttags" w:element="PlaceName">
            <w:r w:rsidRPr="00E91F6E">
              <w:rPr>
                <w:sz w:val="22"/>
              </w:rPr>
              <w:t>Treasurer</w:t>
            </w:r>
          </w:smartTag>
        </w:smartTag>
      </w:smartTag>
      <w:r w:rsidRPr="00E91F6E">
        <w:rPr>
          <w:sz w:val="22"/>
        </w:rPr>
        <w:t>; this amount must be at least the amount of the deposit to be secured, less the amount insured (by, for example, the FDIC).</w:t>
      </w:r>
    </w:p>
    <w:p w14:paraId="04D8BE23" w14:textId="77777777" w:rsidR="009C2146" w:rsidRPr="00E91F6E" w:rsidRDefault="009C2146" w:rsidP="009C2146">
      <w:pPr>
        <w:widowControl/>
        <w:ind w:left="720"/>
        <w:jc w:val="both"/>
        <w:rPr>
          <w:sz w:val="22"/>
        </w:rPr>
      </w:pPr>
    </w:p>
    <w:p w14:paraId="0A02FBA4" w14:textId="7B652D77" w:rsidR="009C2146" w:rsidRPr="00E91F6E" w:rsidRDefault="009C2146" w:rsidP="009C2146">
      <w:pPr>
        <w:widowControl/>
        <w:ind w:left="720"/>
        <w:jc w:val="both"/>
        <w:rPr>
          <w:sz w:val="22"/>
        </w:rPr>
      </w:pPr>
      <w:r w:rsidRPr="00E91F6E">
        <w:rPr>
          <w:sz w:val="22"/>
        </w:rPr>
        <w:t xml:space="preserve">The County Treasurer has been authorized by the County’s governing board to make investments.  Allowable investments are outlined in statutes </w:t>
      </w:r>
      <w:hyperlink r:id="rId33" w:history="1">
        <w:r w:rsidRPr="00E91F6E">
          <w:rPr>
            <w:rStyle w:val="Hyperlink"/>
            <w:sz w:val="22"/>
          </w:rPr>
          <w:t>62 O.S. § 348.1</w:t>
        </w:r>
      </w:hyperlink>
      <w:r w:rsidRPr="00E91F6E">
        <w:rPr>
          <w:sz w:val="22"/>
        </w:rPr>
        <w:t xml:space="preserve"> and </w:t>
      </w:r>
      <w:hyperlink r:id="rId34" w:history="1">
        <w:r w:rsidRPr="00E91F6E">
          <w:rPr>
            <w:rStyle w:val="Hyperlink"/>
            <w:sz w:val="22"/>
          </w:rPr>
          <w:t>§ 348.3</w:t>
        </w:r>
      </w:hyperlink>
      <w:r w:rsidRPr="00E91F6E">
        <w:rPr>
          <w:sz w:val="22"/>
        </w:rPr>
        <w:t>.</w:t>
      </w:r>
    </w:p>
    <w:p w14:paraId="2F7C7B86" w14:textId="77777777" w:rsidR="009C2146" w:rsidRPr="00E91F6E" w:rsidRDefault="009C2146" w:rsidP="009C2146">
      <w:pPr>
        <w:widowControl/>
        <w:ind w:left="720"/>
        <w:jc w:val="both"/>
        <w:rPr>
          <w:sz w:val="22"/>
        </w:rPr>
      </w:pPr>
    </w:p>
    <w:p w14:paraId="559B9F51" w14:textId="77777777" w:rsidR="009C2146" w:rsidRPr="00E91F6E" w:rsidRDefault="009C2146" w:rsidP="009C2146">
      <w:pPr>
        <w:widowControl/>
        <w:ind w:left="720"/>
        <w:jc w:val="both"/>
        <w:rPr>
          <w:sz w:val="22"/>
        </w:rPr>
      </w:pPr>
      <w:r w:rsidRPr="00E91F6E">
        <w:rPr>
          <w:sz w:val="22"/>
        </w:rPr>
        <w:t>All investments must be backed by the full faith and credit of the United States Government, the Oklahoma State Government, fully collateralized, or fully insured. All investments as classified by state statute are nonnegotiable certificates of deposit. Nonnegotiable certificates of deposit are not subject to interest rate risk or credit risk.</w:t>
      </w:r>
    </w:p>
    <w:p w14:paraId="4E3BC5E2" w14:textId="77777777" w:rsidR="009C2146" w:rsidRPr="00E91F6E" w:rsidRDefault="009C2146" w:rsidP="009C2146">
      <w:pPr>
        <w:widowControl/>
        <w:ind w:left="720"/>
        <w:jc w:val="both"/>
        <w:rPr>
          <w:sz w:val="22"/>
        </w:rPr>
      </w:pPr>
    </w:p>
    <w:p w14:paraId="750DBC10" w14:textId="438951A7" w:rsidR="009C2146" w:rsidRPr="00E91F6E" w:rsidRDefault="00BC7354" w:rsidP="00BC7354">
      <w:pPr>
        <w:widowControl/>
        <w:ind w:left="720"/>
        <w:jc w:val="both"/>
        <w:rPr>
          <w:sz w:val="22"/>
        </w:rPr>
      </w:pPr>
      <w:r w:rsidRPr="00E91F6E">
        <w:rPr>
          <w:b/>
          <w:sz w:val="22"/>
          <w:szCs w:val="22"/>
          <w:highlight w:val="green"/>
        </w:rPr>
        <w:t>This sentence should be removed if it is not applicable:</w:t>
      </w:r>
      <w:r w:rsidRPr="00E91F6E">
        <w:rPr>
          <w:sz w:val="22"/>
        </w:rPr>
        <w:t xml:space="preserve"> </w:t>
      </w:r>
      <w:r w:rsidR="009C2146" w:rsidRPr="00E91F6E">
        <w:rPr>
          <w:sz w:val="22"/>
        </w:rPr>
        <w:t>At June 30, 20</w:t>
      </w:r>
      <w:r w:rsidR="009C2146" w:rsidRPr="00E91F6E">
        <w:rPr>
          <w:sz w:val="22"/>
          <w:highlight w:val="yellow"/>
        </w:rPr>
        <w:t>__</w:t>
      </w:r>
      <w:r w:rsidR="009C2146" w:rsidRPr="00E91F6E">
        <w:rPr>
          <w:sz w:val="22"/>
        </w:rPr>
        <w:t xml:space="preserve">, the County’s </w:t>
      </w:r>
      <w:bookmarkStart w:id="2" w:name="_Hlk520738245"/>
      <w:r w:rsidR="009C2146" w:rsidRPr="00E91F6E">
        <w:rPr>
          <w:sz w:val="22"/>
        </w:rPr>
        <w:t>investments were under-collateralized</w:t>
      </w:r>
      <w:bookmarkEnd w:id="2"/>
      <w:r w:rsidR="009C2146" w:rsidRPr="00E91F6E">
        <w:rPr>
          <w:sz w:val="22"/>
        </w:rPr>
        <w:t xml:space="preserve"> in the amount of $</w:t>
      </w:r>
      <w:r w:rsidR="009C2146" w:rsidRPr="00E91F6E">
        <w:rPr>
          <w:sz w:val="22"/>
          <w:highlight w:val="yellow"/>
          <w:u w:val="single"/>
        </w:rPr>
        <w:t xml:space="preserve">               </w:t>
      </w:r>
      <w:r w:rsidR="009C2146" w:rsidRPr="00E91F6E">
        <w:rPr>
          <w:sz w:val="22"/>
        </w:rPr>
        <w:t>.</w:t>
      </w:r>
    </w:p>
    <w:p w14:paraId="2AF49C23" w14:textId="77777777" w:rsidR="009C2146" w:rsidRPr="00E91F6E" w:rsidRDefault="009C2146" w:rsidP="009C2146">
      <w:pPr>
        <w:widowControl/>
        <w:ind w:left="720"/>
        <w:jc w:val="both"/>
        <w:rPr>
          <w:sz w:val="22"/>
        </w:rPr>
      </w:pPr>
    </w:p>
    <w:p w14:paraId="0516BAF8" w14:textId="58621A7E" w:rsidR="009C2146" w:rsidRPr="00E91F6E" w:rsidRDefault="009C2146" w:rsidP="009C2146">
      <w:pPr>
        <w:widowControl/>
        <w:ind w:left="720"/>
        <w:jc w:val="both"/>
        <w:rPr>
          <w:b/>
          <w:i/>
          <w:sz w:val="22"/>
          <w:highlight w:val="yellow"/>
        </w:rPr>
      </w:pPr>
      <w:r w:rsidRPr="00E91F6E">
        <w:rPr>
          <w:b/>
          <w:sz w:val="22"/>
          <w:szCs w:val="22"/>
          <w:highlight w:val="green"/>
        </w:rPr>
        <w:t xml:space="preserve">If the County has investments that are not backed by the full faith and credit of the United States Government and are subject to interest rate risk and credit risk </w:t>
      </w:r>
      <w:r w:rsidR="00BC7354" w:rsidRPr="00E91F6E">
        <w:rPr>
          <w:b/>
          <w:sz w:val="22"/>
          <w:szCs w:val="22"/>
          <w:highlight w:val="green"/>
        </w:rPr>
        <w:t xml:space="preserve">(for example, investments in a Federal housing finance agency such as </w:t>
      </w:r>
      <w:proofErr w:type="spellStart"/>
      <w:r w:rsidR="00BC7354" w:rsidRPr="00E91F6E">
        <w:rPr>
          <w:b/>
          <w:sz w:val="22"/>
          <w:szCs w:val="22"/>
          <w:highlight w:val="green"/>
        </w:rPr>
        <w:t>fannie</w:t>
      </w:r>
      <w:proofErr w:type="spellEnd"/>
      <w:r w:rsidR="00BC7354" w:rsidRPr="00E91F6E">
        <w:rPr>
          <w:b/>
          <w:sz w:val="22"/>
          <w:szCs w:val="22"/>
          <w:highlight w:val="green"/>
        </w:rPr>
        <w:t xml:space="preserve"> </w:t>
      </w:r>
      <w:proofErr w:type="spellStart"/>
      <w:r w:rsidR="00BC7354" w:rsidRPr="00E91F6E">
        <w:rPr>
          <w:b/>
          <w:sz w:val="22"/>
          <w:szCs w:val="22"/>
          <w:highlight w:val="green"/>
        </w:rPr>
        <w:t>mae</w:t>
      </w:r>
      <w:proofErr w:type="spellEnd"/>
      <w:r w:rsidR="00BC7354" w:rsidRPr="00E91F6E">
        <w:rPr>
          <w:b/>
          <w:sz w:val="22"/>
          <w:szCs w:val="22"/>
          <w:highlight w:val="green"/>
        </w:rPr>
        <w:t xml:space="preserve"> and </w:t>
      </w:r>
      <w:proofErr w:type="spellStart"/>
      <w:r w:rsidR="00BC7354" w:rsidRPr="00E91F6E">
        <w:rPr>
          <w:b/>
          <w:sz w:val="22"/>
          <w:szCs w:val="22"/>
          <w:highlight w:val="green"/>
        </w:rPr>
        <w:t>freddie</w:t>
      </w:r>
      <w:proofErr w:type="spellEnd"/>
      <w:r w:rsidR="00BC7354" w:rsidRPr="00E91F6E">
        <w:rPr>
          <w:b/>
          <w:sz w:val="22"/>
          <w:szCs w:val="22"/>
          <w:highlight w:val="green"/>
        </w:rPr>
        <w:t xml:space="preserve"> mac) </w:t>
      </w:r>
      <w:r w:rsidRPr="00E91F6E">
        <w:rPr>
          <w:b/>
          <w:sz w:val="22"/>
          <w:szCs w:val="22"/>
          <w:highlight w:val="green"/>
        </w:rPr>
        <w:t>the preceding two paragraphs should be replaced by the following three paragraphs:</w:t>
      </w:r>
    </w:p>
    <w:p w14:paraId="540F5DD0" w14:textId="77777777" w:rsidR="009C2146" w:rsidRPr="00E91F6E" w:rsidRDefault="009C2146" w:rsidP="009C2146">
      <w:pPr>
        <w:widowControl/>
        <w:ind w:left="720"/>
        <w:jc w:val="both"/>
        <w:rPr>
          <w:sz w:val="22"/>
        </w:rPr>
      </w:pPr>
    </w:p>
    <w:p w14:paraId="6C8EC45C" w14:textId="3A03AD81" w:rsidR="009C2146" w:rsidRPr="00E91F6E" w:rsidRDefault="009C2146" w:rsidP="009C2146">
      <w:pPr>
        <w:widowControl/>
        <w:ind w:left="720"/>
        <w:jc w:val="both"/>
        <w:rPr>
          <w:sz w:val="22"/>
        </w:rPr>
      </w:pPr>
      <w:r w:rsidRPr="00E91F6E">
        <w:rPr>
          <w:sz w:val="22"/>
        </w:rPr>
        <w:lastRenderedPageBreak/>
        <w:t xml:space="preserve">The County has investments with an original cost of $_______ with a financial institution that has invested the funds in </w:t>
      </w:r>
      <w:r w:rsidR="00BC7354" w:rsidRPr="00E91F6E">
        <w:rPr>
          <w:sz w:val="22"/>
        </w:rPr>
        <w:t>[list</w:t>
      </w:r>
      <w:r w:rsidRPr="00E91F6E">
        <w:rPr>
          <w:sz w:val="22"/>
        </w:rPr>
        <w:t xml:space="preserve"> investments, such as Federal Home Loan Bank bonds, Federal National Mortgage Association bonds, or Federal Home Loan Mortgage Corporation] which are not backed by the full faith and credit of the United States Government and are subject to interest rate risk and credit risk.</w:t>
      </w:r>
    </w:p>
    <w:p w14:paraId="3C0FE86C" w14:textId="77777777" w:rsidR="009C2146" w:rsidRPr="00E91F6E" w:rsidRDefault="009C2146" w:rsidP="009C2146">
      <w:pPr>
        <w:widowControl/>
        <w:ind w:left="720"/>
        <w:jc w:val="both"/>
        <w:rPr>
          <w:sz w:val="22"/>
          <w:szCs w:val="22"/>
          <w:u w:val="single"/>
        </w:rPr>
      </w:pPr>
    </w:p>
    <w:p w14:paraId="49543965" w14:textId="77777777" w:rsidR="009C2146" w:rsidRPr="00E91F6E" w:rsidRDefault="009C2146" w:rsidP="009C2146">
      <w:pPr>
        <w:widowControl/>
        <w:ind w:left="720"/>
        <w:jc w:val="both"/>
        <w:rPr>
          <w:sz w:val="22"/>
          <w:szCs w:val="22"/>
        </w:rPr>
      </w:pPr>
      <w:r w:rsidRPr="00E91F6E">
        <w:rPr>
          <w:sz w:val="22"/>
        </w:rPr>
        <w:t>All investments, except for those investments noted in the preceding paragraph, are backed by the full faith and credit of the United States Government, the Oklahoma State Government, fully collateralized, or fully insured.  A</w:t>
      </w:r>
      <w:r w:rsidRPr="00E91F6E">
        <w:rPr>
          <w:sz w:val="22"/>
          <w:szCs w:val="22"/>
        </w:rPr>
        <w:t>ll investments,</w:t>
      </w:r>
      <w:r w:rsidRPr="00E91F6E">
        <w:rPr>
          <w:sz w:val="22"/>
        </w:rPr>
        <w:t xml:space="preserve"> except for those investments noted in the preceding paragraph,</w:t>
      </w:r>
      <w:r w:rsidRPr="00E91F6E">
        <w:rPr>
          <w:sz w:val="22"/>
          <w:szCs w:val="22"/>
        </w:rPr>
        <w:t xml:space="preserve"> as classified by state statute are nonnegotiable certificates of deposit. Nonnegotiable certificates of deposit are not subject to interest rate risk or credit risk.</w:t>
      </w:r>
    </w:p>
    <w:p w14:paraId="3F2AC071" w14:textId="77777777" w:rsidR="009C2146" w:rsidRPr="00E91F6E" w:rsidRDefault="009C2146" w:rsidP="009C2146">
      <w:pPr>
        <w:widowControl/>
        <w:ind w:left="720"/>
        <w:jc w:val="both"/>
        <w:rPr>
          <w:sz w:val="22"/>
          <w:szCs w:val="22"/>
        </w:rPr>
      </w:pPr>
    </w:p>
    <w:p w14:paraId="489FA8E6" w14:textId="42724BB7" w:rsidR="004A371F" w:rsidRPr="00E91F6E" w:rsidRDefault="00BC7354" w:rsidP="009C2146">
      <w:pPr>
        <w:widowControl/>
        <w:ind w:left="720"/>
        <w:jc w:val="both"/>
        <w:rPr>
          <w:sz w:val="22"/>
          <w:szCs w:val="22"/>
        </w:rPr>
      </w:pPr>
      <w:r w:rsidRPr="00E91F6E">
        <w:rPr>
          <w:b/>
          <w:sz w:val="22"/>
          <w:szCs w:val="22"/>
          <w:highlight w:val="green"/>
        </w:rPr>
        <w:t>This sentence should be removed if it is not applicable:</w:t>
      </w:r>
      <w:r w:rsidRPr="00E91F6E">
        <w:rPr>
          <w:sz w:val="22"/>
        </w:rPr>
        <w:t xml:space="preserve"> </w:t>
      </w:r>
      <w:r w:rsidR="009C2146" w:rsidRPr="00E91F6E">
        <w:rPr>
          <w:sz w:val="22"/>
          <w:szCs w:val="22"/>
        </w:rPr>
        <w:t>At June 30, 20</w:t>
      </w:r>
      <w:r w:rsidR="009C2146" w:rsidRPr="00E91F6E">
        <w:rPr>
          <w:sz w:val="22"/>
          <w:szCs w:val="22"/>
          <w:highlight w:val="yellow"/>
        </w:rPr>
        <w:t>__</w:t>
      </w:r>
      <w:r w:rsidR="009C2146" w:rsidRPr="00E91F6E">
        <w:rPr>
          <w:sz w:val="22"/>
          <w:szCs w:val="22"/>
        </w:rPr>
        <w:t>, the County’s investments were under-collateralized in the amount of $</w:t>
      </w:r>
      <w:r w:rsidR="009C2146" w:rsidRPr="00E91F6E">
        <w:rPr>
          <w:sz w:val="22"/>
          <w:szCs w:val="22"/>
          <w:highlight w:val="yellow"/>
          <w:u w:val="single"/>
        </w:rPr>
        <w:t xml:space="preserve">               </w:t>
      </w:r>
      <w:r w:rsidR="00C7156A" w:rsidRPr="00E91F6E">
        <w:rPr>
          <w:sz w:val="22"/>
          <w:szCs w:val="22"/>
        </w:rPr>
        <w:t>.</w:t>
      </w:r>
    </w:p>
    <w:p w14:paraId="301F4B9C" w14:textId="279537E0" w:rsidR="004A371F" w:rsidRPr="00E91F6E" w:rsidRDefault="004A371F" w:rsidP="004A371F">
      <w:pPr>
        <w:widowControl/>
        <w:ind w:left="720"/>
        <w:jc w:val="both"/>
        <w:rPr>
          <w:sz w:val="22"/>
          <w:szCs w:val="22"/>
        </w:rPr>
      </w:pPr>
    </w:p>
    <w:p w14:paraId="228D43C0" w14:textId="77777777" w:rsidR="00B4342B" w:rsidRPr="00E91F6E" w:rsidRDefault="00B4342B" w:rsidP="004A371F">
      <w:pPr>
        <w:widowControl/>
        <w:ind w:left="720"/>
        <w:jc w:val="both"/>
        <w:rPr>
          <w:sz w:val="22"/>
          <w:szCs w:val="22"/>
        </w:rPr>
      </w:pPr>
    </w:p>
    <w:p w14:paraId="3BA46129" w14:textId="28BE0D85" w:rsidR="004A371F" w:rsidRPr="00E91F6E" w:rsidRDefault="00F668F0" w:rsidP="004A371F">
      <w:pPr>
        <w:widowControl/>
        <w:ind w:left="720"/>
        <w:jc w:val="both"/>
        <w:rPr>
          <w:sz w:val="22"/>
          <w:szCs w:val="22"/>
        </w:rPr>
      </w:pPr>
      <w:r w:rsidRPr="00E91F6E">
        <w:rPr>
          <w:b/>
          <w:sz w:val="22"/>
          <w:szCs w:val="22"/>
          <w:highlight w:val="green"/>
        </w:rPr>
        <w:t>Ad valorem collections comprise the majority of revenue for some counties.  The ad valorem tax disclosure describes the standardized collection proc</w:t>
      </w:r>
      <w:r w:rsidR="00C7156A" w:rsidRPr="00E91F6E">
        <w:rPr>
          <w:b/>
          <w:sz w:val="22"/>
          <w:szCs w:val="22"/>
          <w:highlight w:val="green"/>
        </w:rPr>
        <w:t>ess for all counties.</w:t>
      </w:r>
    </w:p>
    <w:p w14:paraId="2C30324B"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both"/>
        <w:rPr>
          <w:b/>
          <w:sz w:val="22"/>
        </w:rPr>
      </w:pPr>
      <w:r w:rsidRPr="00E91F6E">
        <w:rPr>
          <w:b/>
          <w:sz w:val="22"/>
        </w:rPr>
        <w:t>2.</w:t>
      </w:r>
      <w:r w:rsidRPr="00E91F6E">
        <w:rPr>
          <w:b/>
          <w:sz w:val="22"/>
        </w:rPr>
        <w:tab/>
        <w:t>Ad Valorem Tax</w:t>
      </w:r>
    </w:p>
    <w:p w14:paraId="50063D43"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both"/>
        <w:rPr>
          <w:sz w:val="22"/>
        </w:rPr>
      </w:pPr>
    </w:p>
    <w:p w14:paraId="1A692143" w14:textId="6DDB49FE"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r w:rsidRPr="00E91F6E">
        <w:rPr>
          <w:sz w:val="22"/>
        </w:rPr>
        <w:t xml:space="preserve">The County's property tax is levied each October 1 on the assessed value listed as of January 1 of the same year for all real and personal property located in the County, except certain exempt property. Assessed values are established by the </w:t>
      </w:r>
      <w:smartTag w:uri="urn:schemas-microsoft-com:office:smarttags" w:element="place">
        <w:smartTag w:uri="urn:schemas-microsoft-com:office:smarttags" w:element="PlaceType">
          <w:smartTag w:uri="urn:schemas-microsoft-com:office:smarttags" w:element="PlaceType">
            <w:r w:rsidRPr="00E91F6E">
              <w:rPr>
                <w:sz w:val="22"/>
              </w:rPr>
              <w:t>County</w:t>
            </w:r>
          </w:smartTag>
          <w:r w:rsidRPr="00E91F6E">
            <w:rPr>
              <w:sz w:val="22"/>
            </w:rPr>
            <w:t xml:space="preserve"> </w:t>
          </w:r>
          <w:smartTag w:uri="urn:schemas-microsoft-com:office:smarttags" w:element="PlaceName">
            <w:r w:rsidRPr="00E91F6E">
              <w:rPr>
                <w:sz w:val="22"/>
              </w:rPr>
              <w:t>Assessor</w:t>
            </w:r>
          </w:smartTag>
        </w:smartTag>
      </w:smartTag>
      <w:r w:rsidRPr="00E91F6E">
        <w:rPr>
          <w:sz w:val="22"/>
        </w:rPr>
        <w:t xml:space="preserve"> within the prescribed guidelines established by the Oklahoma Tax Commission and the State Equalization Board.  </w:t>
      </w:r>
      <w:hyperlink r:id="rId35" w:history="1">
        <w:r w:rsidRPr="00E91F6E">
          <w:rPr>
            <w:rStyle w:val="Hyperlink"/>
            <w:sz w:val="22"/>
          </w:rPr>
          <w:t>Title 68 O.S. § 2820.A</w:t>
        </w:r>
      </w:hyperlink>
      <w:r w:rsidRPr="00E91F6E">
        <w:rPr>
          <w:sz w:val="22"/>
        </w:rPr>
        <w:t>. states, ". . . Each assessor shall thereafter maintain an active and systematic program of visual inspection on a continuous basis and shall establish an inspection schedule which will result in the individual visual inspection of all taxable property within the county at least once each four (4) years."</w:t>
      </w:r>
    </w:p>
    <w:p w14:paraId="4E2DCCB9"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u w:val="single"/>
        </w:rPr>
      </w:pPr>
    </w:p>
    <w:p w14:paraId="4E13B6B0"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r w:rsidRPr="00E91F6E">
        <w:rPr>
          <w:sz w:val="22"/>
        </w:rPr>
        <w:t xml:space="preserve">Taxes are due on November 1 following the levy date, although they may be paid in two equal installments.  If the first half is paid prior to January 1, the second half is not delinquent until April 1.  </w:t>
      </w:r>
      <w:r w:rsidR="008D4B60" w:rsidRPr="00E91F6E">
        <w:rPr>
          <w:sz w:val="22"/>
        </w:rPr>
        <w:t>The County Treasurer, according to the law, shall give notice of delinquent taxes and special assessments by publication once a week for two consecutive weeks at any time after April 1, but prior to the end of September following the year the taxes were first due and payable.  Unpaid real property taxes become a lien upon said property after the treasurer has perfected the lien by public notice.</w:t>
      </w:r>
    </w:p>
    <w:p w14:paraId="655463D7" w14:textId="1E198282"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p>
    <w:p w14:paraId="71870A24" w14:textId="77777777" w:rsidR="005364BE" w:rsidRPr="00E91F6E" w:rsidRDefault="005364BE"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r w:rsidRPr="00E91F6E">
        <w:rPr>
          <w:sz w:val="22"/>
        </w:rPr>
        <w:t xml:space="preserve">Unpaid delinquent personal property taxes are </w:t>
      </w:r>
      <w:r w:rsidR="00F71C79" w:rsidRPr="00E91F6E">
        <w:rPr>
          <w:sz w:val="22"/>
        </w:rPr>
        <w:t xml:space="preserve">usually </w:t>
      </w:r>
      <w:r w:rsidRPr="00E91F6E">
        <w:rPr>
          <w:sz w:val="22"/>
        </w:rPr>
        <w:t>published in May.  If the taxes are not paid within 30 days from publication, they shall be placed on the personal tax lien docket.</w:t>
      </w:r>
    </w:p>
    <w:p w14:paraId="649CFB84" w14:textId="206CD925" w:rsidR="0065507A" w:rsidRPr="00E91F6E" w:rsidRDefault="0065507A"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p>
    <w:p w14:paraId="0AD3235B" w14:textId="77777777" w:rsidR="00B4342B" w:rsidRPr="00E91F6E" w:rsidRDefault="00B4342B"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p>
    <w:p w14:paraId="7D32CBA4" w14:textId="0A01C250" w:rsidR="00F668F0" w:rsidRPr="00E91F6E" w:rsidRDefault="00F668F0" w:rsidP="00F668F0">
      <w:pPr>
        <w:autoSpaceDE/>
        <w:autoSpaceDN/>
        <w:spacing w:line="276" w:lineRule="auto"/>
        <w:ind w:left="720"/>
        <w:jc w:val="both"/>
        <w:rPr>
          <w:b/>
          <w:sz w:val="22"/>
          <w:szCs w:val="22"/>
          <w:highlight w:val="green"/>
        </w:rPr>
      </w:pPr>
      <w:r w:rsidRPr="00E91F6E">
        <w:rPr>
          <w:b/>
          <w:sz w:val="22"/>
          <w:szCs w:val="22"/>
          <w:highlight w:val="green"/>
        </w:rPr>
        <w:t xml:space="preserve">In addition to the disclosures above, the American Institute of Certified Public Accountants </w:t>
      </w:r>
      <w:hyperlink r:id="rId36" w:history="1">
        <w:r w:rsidRPr="00E91F6E">
          <w:rPr>
            <w:rStyle w:val="Hyperlink"/>
            <w:b/>
            <w:sz w:val="22"/>
            <w:szCs w:val="22"/>
            <w:highlight w:val="green"/>
            <w:lang w:val="en"/>
          </w:rPr>
          <w:t xml:space="preserve">Clarified Statements on Auditing Standards </w:t>
        </w:r>
        <w:r w:rsidRPr="00E91F6E">
          <w:rPr>
            <w:rStyle w:val="Hyperlink"/>
            <w:b/>
            <w:sz w:val="22"/>
            <w:szCs w:val="22"/>
            <w:highlight w:val="green"/>
          </w:rPr>
          <w:t>AU-C § 700</w:t>
        </w:r>
      </w:hyperlink>
      <w:r w:rsidRPr="00E91F6E">
        <w:rPr>
          <w:b/>
          <w:sz w:val="22"/>
          <w:szCs w:val="22"/>
          <w:highlight w:val="green"/>
          <w:lang w:val="en"/>
        </w:rPr>
        <w:t xml:space="preserve"> requires </w:t>
      </w:r>
      <w:r w:rsidRPr="00E91F6E">
        <w:rPr>
          <w:b/>
          <w:sz w:val="22"/>
          <w:szCs w:val="22"/>
          <w:highlight w:val="green"/>
        </w:rPr>
        <w:t>“…the financial statements provide adequate disclosures to enable the intended users to understand the effect of material transactions and events on the information conveyed in the financial statements.”  The following disclosures under Other Information are considered adequate for the purpose of meeting this requirement.</w:t>
      </w:r>
    </w:p>
    <w:p w14:paraId="4DF34DF0" w14:textId="77777777" w:rsidR="00F668F0" w:rsidRPr="00E91F6E" w:rsidRDefault="00F668F0" w:rsidP="00F668F0">
      <w:pPr>
        <w:autoSpaceDE/>
        <w:autoSpaceDN/>
        <w:spacing w:line="276" w:lineRule="auto"/>
        <w:ind w:left="720"/>
        <w:jc w:val="both"/>
        <w:rPr>
          <w:b/>
          <w:sz w:val="22"/>
          <w:szCs w:val="22"/>
          <w:highlight w:val="green"/>
        </w:rPr>
      </w:pPr>
    </w:p>
    <w:p w14:paraId="291C2E95" w14:textId="22DC1341" w:rsidR="00F668F0" w:rsidRPr="00E91F6E" w:rsidRDefault="00F668F0" w:rsidP="00F668F0">
      <w:pPr>
        <w:autoSpaceDE/>
        <w:autoSpaceDN/>
        <w:spacing w:line="276" w:lineRule="auto"/>
        <w:ind w:left="720"/>
        <w:jc w:val="both"/>
        <w:rPr>
          <w:sz w:val="22"/>
        </w:rPr>
      </w:pPr>
      <w:r w:rsidRPr="00E91F6E">
        <w:rPr>
          <w:b/>
          <w:sz w:val="22"/>
          <w:szCs w:val="22"/>
          <w:highlight w:val="green"/>
        </w:rPr>
        <w:t>Disclosures A, B, and C will always be included</w:t>
      </w:r>
      <w:r w:rsidR="003462F9" w:rsidRPr="00E91F6E">
        <w:rPr>
          <w:b/>
          <w:sz w:val="22"/>
          <w:szCs w:val="22"/>
          <w:highlight w:val="green"/>
        </w:rPr>
        <w:t>.  All other disclosures may be removed if they do not apply to the County in the fiscal year reported.  If a disclosure is removed, adjust the numbering and lettering accordingly</w:t>
      </w:r>
      <w:r w:rsidRPr="00E91F6E">
        <w:rPr>
          <w:b/>
          <w:sz w:val="22"/>
          <w:szCs w:val="22"/>
          <w:highlight w:val="green"/>
        </w:rPr>
        <w:t>.</w:t>
      </w:r>
    </w:p>
    <w:p w14:paraId="790E3B4F" w14:textId="451728E8" w:rsidR="00E84679" w:rsidRPr="00E91F6E" w:rsidRDefault="00E84679"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hanging="720"/>
        <w:jc w:val="both"/>
        <w:rPr>
          <w:b/>
          <w:sz w:val="22"/>
          <w:highlight w:val="yellow"/>
        </w:rPr>
      </w:pPr>
      <w:r w:rsidRPr="00E91F6E">
        <w:rPr>
          <w:b/>
          <w:sz w:val="22"/>
        </w:rPr>
        <w:t>3.</w:t>
      </w:r>
      <w:r w:rsidRPr="00E91F6E">
        <w:rPr>
          <w:b/>
          <w:sz w:val="22"/>
        </w:rPr>
        <w:tab/>
        <w:t>Other Information</w:t>
      </w:r>
    </w:p>
    <w:p w14:paraId="3206441B" w14:textId="2946FA6A" w:rsidR="00E84679" w:rsidRPr="00E91F6E" w:rsidRDefault="00E84679"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both"/>
        <w:rPr>
          <w:b/>
          <w:sz w:val="22"/>
          <w:highlight w:val="yellow"/>
        </w:rPr>
      </w:pPr>
    </w:p>
    <w:p w14:paraId="23017E17" w14:textId="4F0B7BA2" w:rsidR="00B25EE0" w:rsidRPr="00E91F6E" w:rsidRDefault="0068020D" w:rsidP="007E16E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6720"/>
        </w:tabs>
        <w:ind w:left="720"/>
        <w:jc w:val="both"/>
        <w:rPr>
          <w:b/>
          <w:sz w:val="22"/>
          <w:highlight w:val="yellow"/>
        </w:rPr>
      </w:pPr>
      <w:r w:rsidRPr="00E91F6E">
        <w:rPr>
          <w:b/>
          <w:sz w:val="22"/>
          <w:szCs w:val="22"/>
          <w:highlight w:val="green"/>
        </w:rPr>
        <w:t xml:space="preserve">The </w:t>
      </w:r>
      <w:r w:rsidR="009C4BF6" w:rsidRPr="00E91F6E">
        <w:rPr>
          <w:b/>
          <w:sz w:val="22"/>
          <w:szCs w:val="22"/>
          <w:highlight w:val="green"/>
        </w:rPr>
        <w:t>pension plan</w:t>
      </w:r>
      <w:r w:rsidRPr="00E91F6E">
        <w:rPr>
          <w:b/>
          <w:sz w:val="22"/>
          <w:szCs w:val="22"/>
          <w:highlight w:val="green"/>
        </w:rPr>
        <w:t xml:space="preserve"> disclosur</w:t>
      </w:r>
      <w:r w:rsidR="009C4BF6" w:rsidRPr="00E91F6E">
        <w:rPr>
          <w:b/>
          <w:sz w:val="22"/>
          <w:szCs w:val="22"/>
          <w:highlight w:val="green"/>
        </w:rPr>
        <w:t>e below is standard for all counties</w:t>
      </w:r>
      <w:r w:rsidR="007E16EA" w:rsidRPr="00E91F6E">
        <w:rPr>
          <w:b/>
          <w:sz w:val="22"/>
          <w:szCs w:val="22"/>
          <w:highlight w:val="green"/>
        </w:rPr>
        <w:t xml:space="preserve"> that participate in the Oklahoma Public Employees Retirement Plan (OPERS)</w:t>
      </w:r>
      <w:r w:rsidR="009C4BF6" w:rsidRPr="00E91F6E">
        <w:rPr>
          <w:b/>
          <w:sz w:val="22"/>
          <w:szCs w:val="22"/>
          <w:highlight w:val="green"/>
        </w:rPr>
        <w:t>.</w:t>
      </w:r>
    </w:p>
    <w:p w14:paraId="356F83C5" w14:textId="77777777" w:rsidR="00E84679" w:rsidRPr="00E91F6E" w:rsidRDefault="00E84679" w:rsidP="000D3BEC">
      <w:pPr>
        <w:pStyle w:val="ListParagraph"/>
        <w:numPr>
          <w:ilvl w:val="0"/>
          <w:numId w:val="1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both"/>
        <w:rPr>
          <w:b/>
          <w:sz w:val="22"/>
          <w:u w:val="single"/>
        </w:rPr>
      </w:pPr>
      <w:r w:rsidRPr="00E91F6E">
        <w:rPr>
          <w:b/>
          <w:sz w:val="22"/>
          <w:u w:val="single"/>
        </w:rPr>
        <w:t>Pension Plan</w:t>
      </w:r>
    </w:p>
    <w:p w14:paraId="121EECBE" w14:textId="77777777" w:rsidR="00E84679" w:rsidRPr="00E91F6E" w:rsidRDefault="00E84679" w:rsidP="000D3BEC">
      <w:pPr>
        <w:widowControl/>
        <w:ind w:left="720"/>
        <w:jc w:val="both"/>
        <w:rPr>
          <w:b/>
          <w:sz w:val="22"/>
        </w:rPr>
      </w:pPr>
    </w:p>
    <w:p w14:paraId="476CF623" w14:textId="77777777" w:rsidR="00E84679" w:rsidRPr="00E91F6E" w:rsidRDefault="00E84679" w:rsidP="000D3BE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ind w:left="720"/>
        <w:jc w:val="both"/>
        <w:rPr>
          <w:sz w:val="22"/>
        </w:rPr>
      </w:pPr>
      <w:r w:rsidRPr="00E91F6E">
        <w:rPr>
          <w:sz w:val="22"/>
          <w:u w:val="single"/>
        </w:rPr>
        <w:t>Plan Description</w:t>
      </w:r>
      <w:r w:rsidRPr="00E91F6E">
        <w:rPr>
          <w:sz w:val="22"/>
        </w:rPr>
        <w:t xml:space="preserve">.  The County contributes to the Oklahoma Public Employees Retirement Plan (the Plan), a cost-sharing, multiple-employer defined benefit pension plan administered by the Oklahoma Public Employees Retirement System (OPERS).  Benefit provisions are established and amended by the Oklahoma Legislature.  The Plan provides retirement, disability, and death benefits to Plan members and beneficiaries.  Title 74, Sections 901 through 943, as amended, establishes the provisions of the Plan.  OPERS issues a publicly available financial report that includes financial statements and supplementary information.  That report may be obtained by writing OPERS,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E91F6E">
                <w:rPr>
                  <w:sz w:val="22"/>
                </w:rPr>
                <w:t>P.O. Box 53007</w:t>
              </w:r>
            </w:smartTag>
          </w:smartTag>
          <w:r w:rsidRPr="00E91F6E">
            <w:rPr>
              <w:sz w:val="22"/>
            </w:rPr>
            <w:t xml:space="preserve">, </w:t>
          </w:r>
          <w:smartTag w:uri="urn:schemas-microsoft-com:office:smarttags" w:element="City">
            <w:r w:rsidRPr="00E91F6E">
              <w:rPr>
                <w:sz w:val="22"/>
              </w:rPr>
              <w:t>Oklahoma City</w:t>
            </w:r>
          </w:smartTag>
          <w:r w:rsidRPr="00E91F6E">
            <w:rPr>
              <w:sz w:val="22"/>
            </w:rPr>
            <w:t xml:space="preserve">, </w:t>
          </w:r>
          <w:smartTag w:uri="urn:schemas-microsoft-com:office:smarttags" w:element="State">
            <w:r w:rsidRPr="00E91F6E">
              <w:rPr>
                <w:sz w:val="22"/>
              </w:rPr>
              <w:t>Oklahoma</w:t>
            </w:r>
          </w:smartTag>
          <w:r w:rsidRPr="00E91F6E">
            <w:rPr>
              <w:sz w:val="22"/>
            </w:rPr>
            <w:t xml:space="preserve"> </w:t>
          </w:r>
          <w:smartTag w:uri="urn:schemas-microsoft-com:office:smarttags" w:element="PostalCode">
            <w:r w:rsidRPr="00E91F6E">
              <w:rPr>
                <w:sz w:val="22"/>
              </w:rPr>
              <w:t>73105</w:t>
            </w:r>
          </w:smartTag>
        </w:smartTag>
      </w:smartTag>
      <w:r w:rsidRPr="00E91F6E">
        <w:rPr>
          <w:sz w:val="22"/>
        </w:rPr>
        <w:t xml:space="preserve"> or by calling 1-800-733-9008. </w:t>
      </w:r>
    </w:p>
    <w:p w14:paraId="3A2B70A3" w14:textId="77777777" w:rsidR="00E84679" w:rsidRPr="00E91F6E" w:rsidRDefault="00E84679" w:rsidP="000D3BEC">
      <w:pPr>
        <w:pStyle w:val="BodyTextIndent3"/>
      </w:pPr>
      <w:r w:rsidRPr="00E91F6E">
        <w:rPr>
          <w:u w:val="single"/>
        </w:rPr>
        <w:t>Funding Policy</w:t>
      </w:r>
      <w:r w:rsidRPr="00E91F6E">
        <w:t xml:space="preserve">. The contribution rates for each member category are established by the Oklahoma Legislature and are based on an actuarial calculation which is performed to determine the adequacy of contribution rates.  </w:t>
      </w:r>
    </w:p>
    <w:p w14:paraId="2F8CE17A" w14:textId="6B075752" w:rsidR="00E84679" w:rsidRPr="00E91F6E" w:rsidRDefault="00E84679" w:rsidP="000D3BEC">
      <w:pPr>
        <w:widowControl/>
        <w:ind w:left="720"/>
        <w:jc w:val="both"/>
        <w:rPr>
          <w:b/>
          <w:sz w:val="22"/>
        </w:rPr>
      </w:pPr>
    </w:p>
    <w:p w14:paraId="13ADD82F" w14:textId="1CA32DDB" w:rsidR="00B25EE0" w:rsidRPr="00E91F6E" w:rsidRDefault="007E16EA" w:rsidP="000D3BEC">
      <w:pPr>
        <w:widowControl/>
        <w:ind w:left="720"/>
        <w:jc w:val="both"/>
        <w:rPr>
          <w:b/>
          <w:sz w:val="22"/>
        </w:rPr>
      </w:pPr>
      <w:r w:rsidRPr="00E91F6E">
        <w:rPr>
          <w:b/>
          <w:sz w:val="22"/>
          <w:szCs w:val="22"/>
          <w:highlight w:val="green"/>
        </w:rPr>
        <w:t xml:space="preserve">The other </w:t>
      </w:r>
      <w:proofErr w:type="spellStart"/>
      <w:r w:rsidRPr="00E91F6E">
        <w:rPr>
          <w:b/>
          <w:sz w:val="22"/>
          <w:szCs w:val="22"/>
          <w:highlight w:val="green"/>
        </w:rPr>
        <w:t>post employment</w:t>
      </w:r>
      <w:proofErr w:type="spellEnd"/>
      <w:r w:rsidRPr="00E91F6E">
        <w:rPr>
          <w:b/>
          <w:sz w:val="22"/>
          <w:szCs w:val="22"/>
          <w:highlight w:val="green"/>
        </w:rPr>
        <w:t xml:space="preserve"> benefits (OPEB) disclosure below is standard for all counties that participate in the Oklahoma Public Employees Retirement Plan (OPERS).</w:t>
      </w:r>
    </w:p>
    <w:p w14:paraId="4AB2CB01" w14:textId="77777777" w:rsidR="00E84679" w:rsidRPr="00E91F6E" w:rsidRDefault="00E84679" w:rsidP="000D3BEC">
      <w:pPr>
        <w:pStyle w:val="ListParagraph"/>
        <w:numPr>
          <w:ilvl w:val="0"/>
          <w:numId w:val="11"/>
        </w:numPr>
        <w:jc w:val="both"/>
        <w:rPr>
          <w:b/>
          <w:sz w:val="22"/>
          <w:u w:val="single"/>
        </w:rPr>
      </w:pPr>
      <w:r w:rsidRPr="00E91F6E">
        <w:rPr>
          <w:b/>
          <w:sz w:val="22"/>
          <w:u w:val="single"/>
        </w:rPr>
        <w:t>Other Post Employment Benefits (OPEB)</w:t>
      </w:r>
    </w:p>
    <w:p w14:paraId="4822BC5B" w14:textId="77777777" w:rsidR="00E84679" w:rsidRPr="00E91F6E" w:rsidRDefault="00E84679" w:rsidP="000D3BEC">
      <w:pPr>
        <w:widowControl/>
        <w:ind w:left="720"/>
        <w:jc w:val="both"/>
        <w:rPr>
          <w:b/>
          <w:sz w:val="22"/>
        </w:rPr>
      </w:pPr>
    </w:p>
    <w:p w14:paraId="77A0C479" w14:textId="77777777" w:rsidR="00E84679" w:rsidRPr="00E91F6E" w:rsidRDefault="00E84679" w:rsidP="000D3BEC">
      <w:pPr>
        <w:widowControl/>
        <w:ind w:left="720"/>
        <w:jc w:val="both"/>
        <w:rPr>
          <w:color w:val="000000"/>
          <w:sz w:val="22"/>
          <w:szCs w:val="22"/>
        </w:rPr>
      </w:pPr>
      <w:r w:rsidRPr="00E91F6E">
        <w:rPr>
          <w:sz w:val="22"/>
        </w:rPr>
        <w:t xml:space="preserve">In addition to the pension benefits described in the Pension Plan note, OPERS provides post-retirement health care benefits of up to $105 each for retirees who are members of an eligible group plan.  These benefits are funded on a pay-as-you-go basis as part of the overall retirement benefit.  </w:t>
      </w:r>
      <w:r w:rsidRPr="00E91F6E">
        <w:rPr>
          <w:color w:val="000000"/>
          <w:sz w:val="22"/>
          <w:szCs w:val="22"/>
        </w:rPr>
        <w:t>OPEB expenditure and participant information is available for the state as a whole; however, information specific to the County is not available nor can it be reasonably estimated.</w:t>
      </w:r>
    </w:p>
    <w:p w14:paraId="6D9E58DB" w14:textId="51E62300" w:rsidR="00005DC4" w:rsidRPr="00E91F6E" w:rsidRDefault="00005DC4" w:rsidP="000D3BEC">
      <w:pPr>
        <w:widowControl/>
        <w:ind w:left="720"/>
        <w:jc w:val="both"/>
        <w:rPr>
          <w:color w:val="000000"/>
          <w:sz w:val="22"/>
          <w:szCs w:val="22"/>
        </w:rPr>
      </w:pPr>
    </w:p>
    <w:p w14:paraId="04D991E4" w14:textId="664E06D1" w:rsidR="00B25EE0" w:rsidRPr="00E91F6E" w:rsidRDefault="007E16EA" w:rsidP="000D3BEC">
      <w:pPr>
        <w:widowControl/>
        <w:ind w:left="720"/>
        <w:jc w:val="both"/>
        <w:rPr>
          <w:color w:val="000000"/>
          <w:sz w:val="22"/>
          <w:szCs w:val="22"/>
        </w:rPr>
      </w:pPr>
      <w:r w:rsidRPr="00E91F6E">
        <w:rPr>
          <w:b/>
          <w:sz w:val="22"/>
          <w:szCs w:val="22"/>
          <w:highlight w:val="green"/>
        </w:rPr>
        <w:t>The contingent liabilities</w:t>
      </w:r>
      <w:r w:rsidR="0068020D" w:rsidRPr="00E91F6E">
        <w:rPr>
          <w:b/>
          <w:sz w:val="22"/>
          <w:szCs w:val="22"/>
          <w:highlight w:val="green"/>
        </w:rPr>
        <w:t xml:space="preserve"> disclosur</w:t>
      </w:r>
      <w:r w:rsidRPr="00E91F6E">
        <w:rPr>
          <w:b/>
          <w:sz w:val="22"/>
          <w:szCs w:val="22"/>
          <w:highlight w:val="green"/>
        </w:rPr>
        <w:t>e refers to potential loss o</w:t>
      </w:r>
      <w:r w:rsidR="00F64367" w:rsidRPr="00E91F6E">
        <w:rPr>
          <w:b/>
          <w:sz w:val="22"/>
          <w:szCs w:val="22"/>
          <w:highlight w:val="green"/>
        </w:rPr>
        <w:t>f future revenue due to legal action taken against the County</w:t>
      </w:r>
      <w:r w:rsidR="00943610" w:rsidRPr="00E91F6E">
        <w:rPr>
          <w:b/>
          <w:sz w:val="22"/>
          <w:szCs w:val="22"/>
          <w:highlight w:val="green"/>
        </w:rPr>
        <w:t xml:space="preserve">.  As legal representation for the County, the District Attorney should determine whether lawsuits are present for the fiscal year reported.  In most instances, the presence of lawsuits does not indicate a likely adverse effect on the financial condition of </w:t>
      </w:r>
      <w:r w:rsidR="00943610" w:rsidRPr="00E91F6E">
        <w:rPr>
          <w:b/>
          <w:sz w:val="22"/>
          <w:szCs w:val="22"/>
          <w:highlight w:val="green"/>
        </w:rPr>
        <w:lastRenderedPageBreak/>
        <w:t>the County</w:t>
      </w:r>
      <w:r w:rsidR="00542BDA" w:rsidRPr="00E91F6E">
        <w:rPr>
          <w:b/>
          <w:sz w:val="22"/>
          <w:szCs w:val="22"/>
          <w:highlight w:val="green"/>
        </w:rPr>
        <w:t xml:space="preserve">.  If </w:t>
      </w:r>
      <w:r w:rsidR="00EA1C19" w:rsidRPr="00E91F6E">
        <w:rPr>
          <w:b/>
          <w:sz w:val="22"/>
          <w:szCs w:val="22"/>
          <w:highlight w:val="green"/>
        </w:rPr>
        <w:t xml:space="preserve">the District Attorney believes that lawsuits are likely to have an adverse effect, please contact your </w:t>
      </w:r>
      <w:r w:rsidR="00755CBD" w:rsidRPr="00E91F6E">
        <w:rPr>
          <w:b/>
          <w:sz w:val="22"/>
          <w:szCs w:val="22"/>
          <w:highlight w:val="green"/>
        </w:rPr>
        <w:t xml:space="preserve">audit manager </w:t>
      </w:r>
      <w:r w:rsidR="00EA1C19" w:rsidRPr="00E91F6E">
        <w:rPr>
          <w:b/>
          <w:sz w:val="22"/>
          <w:szCs w:val="22"/>
          <w:highlight w:val="green"/>
        </w:rPr>
        <w:t>from the State Auditor and Inspector’s Office for further guidance</w:t>
      </w:r>
      <w:r w:rsidRPr="00E91F6E">
        <w:rPr>
          <w:b/>
          <w:sz w:val="22"/>
          <w:szCs w:val="22"/>
          <w:highlight w:val="green"/>
        </w:rPr>
        <w:t>.</w:t>
      </w:r>
    </w:p>
    <w:p w14:paraId="6EC3AFFC" w14:textId="77777777" w:rsidR="00E84679" w:rsidRPr="00E91F6E" w:rsidRDefault="00E84679" w:rsidP="000D3BEC">
      <w:pPr>
        <w:pStyle w:val="ListParagraph"/>
        <w:numPr>
          <w:ilvl w:val="0"/>
          <w:numId w:val="11"/>
        </w:numPr>
        <w:jc w:val="both"/>
        <w:rPr>
          <w:b/>
          <w:sz w:val="22"/>
          <w:u w:val="single"/>
        </w:rPr>
      </w:pPr>
      <w:r w:rsidRPr="00E91F6E">
        <w:rPr>
          <w:b/>
          <w:sz w:val="22"/>
          <w:u w:val="single"/>
        </w:rPr>
        <w:t>Contingent Liabilities</w:t>
      </w:r>
    </w:p>
    <w:p w14:paraId="64433C13" w14:textId="77777777" w:rsidR="00E84679" w:rsidRPr="00E91F6E" w:rsidRDefault="00E84679" w:rsidP="000D3BEC">
      <w:pPr>
        <w:widowControl/>
        <w:ind w:left="720"/>
        <w:jc w:val="both"/>
        <w:rPr>
          <w:b/>
          <w:sz w:val="22"/>
        </w:rPr>
      </w:pPr>
    </w:p>
    <w:p w14:paraId="4C069379" w14:textId="77777777" w:rsidR="00EA1C19" w:rsidRPr="00E91F6E" w:rsidRDefault="00E84679" w:rsidP="000D3BEC">
      <w:pPr>
        <w:widowControl/>
        <w:ind w:left="720"/>
        <w:jc w:val="both"/>
        <w:rPr>
          <w:sz w:val="22"/>
        </w:rPr>
      </w:pPr>
      <w:r w:rsidRPr="00E91F6E">
        <w:rPr>
          <w:sz w:val="22"/>
        </w:rPr>
        <w:t>Amounts received or receivable from grantor agencies are subject to audit and adjustment by grantor agencies, primarily the federal government.  Any disallowed claims, including amounts already collected, may constitute a liability of the applicable fund.  The amount, if any, of expenditures which may be disallowed by the grantor cannot be determined at this time; although, the County expects such amounts, if any, to be immaterial.</w:t>
      </w:r>
    </w:p>
    <w:p w14:paraId="4833B436" w14:textId="77777777" w:rsidR="00EA1C19" w:rsidRPr="00E91F6E" w:rsidRDefault="00EA1C19" w:rsidP="000D3BEC">
      <w:pPr>
        <w:widowControl/>
        <w:ind w:left="720"/>
        <w:jc w:val="both"/>
        <w:rPr>
          <w:sz w:val="22"/>
        </w:rPr>
      </w:pPr>
    </w:p>
    <w:p w14:paraId="0264838A" w14:textId="37177712" w:rsidR="00EA1C19" w:rsidRPr="00E91F6E" w:rsidRDefault="00EA1C19" w:rsidP="00EA1C19">
      <w:pPr>
        <w:widowControl/>
        <w:ind w:left="720"/>
        <w:jc w:val="both"/>
        <w:rPr>
          <w:b/>
          <w:sz w:val="22"/>
        </w:rPr>
      </w:pPr>
      <w:r w:rsidRPr="00E91F6E">
        <w:rPr>
          <w:b/>
          <w:sz w:val="22"/>
          <w:szCs w:val="22"/>
          <w:highlight w:val="green"/>
        </w:rPr>
        <w:t>If the District Attorney determines lawsuits are present</w:t>
      </w:r>
      <w:r w:rsidR="00530B82" w:rsidRPr="00E91F6E">
        <w:rPr>
          <w:b/>
          <w:sz w:val="22"/>
          <w:szCs w:val="22"/>
          <w:highlight w:val="green"/>
        </w:rPr>
        <w:t>,</w:t>
      </w:r>
      <w:r w:rsidRPr="00E91F6E">
        <w:rPr>
          <w:b/>
          <w:sz w:val="22"/>
          <w:szCs w:val="22"/>
          <w:highlight w:val="green"/>
        </w:rPr>
        <w:t xml:space="preserve"> the following paragraph should be used:</w:t>
      </w:r>
    </w:p>
    <w:p w14:paraId="6517086B" w14:textId="08A7489F" w:rsidR="00F71C79" w:rsidRPr="00E91F6E" w:rsidRDefault="00F71C79" w:rsidP="00F71C79">
      <w:pPr>
        <w:widowControl/>
        <w:ind w:left="720"/>
        <w:jc w:val="both"/>
        <w:rPr>
          <w:sz w:val="22"/>
        </w:rPr>
      </w:pPr>
      <w:r w:rsidRPr="00E91F6E">
        <w:rPr>
          <w:sz w:val="22"/>
        </w:rPr>
        <w:t xml:space="preserve">The County is a defendant in various lawsuits. Although the outcome of these lawsuits is not presently determinable, in management’s opinion, the resolution of these matters will not have a material adverse effect on the financial condition of the County.  </w:t>
      </w:r>
      <w:r w:rsidRPr="00E91F6E">
        <w:rPr>
          <w:b/>
          <w:sz w:val="22"/>
        </w:rPr>
        <w:t xml:space="preserve">  </w:t>
      </w:r>
    </w:p>
    <w:p w14:paraId="3FAACF0F" w14:textId="51149163" w:rsidR="00F71C79" w:rsidRPr="00E91F6E" w:rsidRDefault="00F71C79" w:rsidP="00F71C79">
      <w:pPr>
        <w:widowControl/>
        <w:ind w:left="720"/>
        <w:jc w:val="both"/>
        <w:rPr>
          <w:b/>
          <w:sz w:val="22"/>
        </w:rPr>
      </w:pPr>
    </w:p>
    <w:p w14:paraId="1D1A6ECA" w14:textId="6CCDE142" w:rsidR="00530B82" w:rsidRPr="00E91F6E" w:rsidRDefault="00530B82" w:rsidP="00F71C79">
      <w:pPr>
        <w:widowControl/>
        <w:ind w:left="720"/>
        <w:jc w:val="both"/>
        <w:rPr>
          <w:b/>
          <w:sz w:val="22"/>
        </w:rPr>
      </w:pPr>
      <w:r w:rsidRPr="00E91F6E">
        <w:rPr>
          <w:b/>
          <w:sz w:val="22"/>
          <w:szCs w:val="22"/>
          <w:highlight w:val="green"/>
        </w:rPr>
        <w:t>If the District Attorney determines lawsuits are not present, the following paragraph should be used:</w:t>
      </w:r>
    </w:p>
    <w:p w14:paraId="16D6494B" w14:textId="31479D6F" w:rsidR="00005DC4" w:rsidRPr="00E91F6E" w:rsidRDefault="00F71C79" w:rsidP="00F71C79">
      <w:pPr>
        <w:widowControl/>
        <w:ind w:left="720"/>
        <w:jc w:val="both"/>
        <w:rPr>
          <w:sz w:val="22"/>
        </w:rPr>
      </w:pPr>
      <w:r w:rsidRPr="00E91F6E">
        <w:rPr>
          <w:sz w:val="22"/>
        </w:rPr>
        <w:t>As of the end of the fiscal year, there were no claims or judgments that would have a material adverse effect on the financial condition of the County; however, the outcome of any lawsuit would not be determinable.</w:t>
      </w:r>
    </w:p>
    <w:p w14:paraId="35C689BB" w14:textId="0FD8CB28" w:rsidR="0065507A" w:rsidRPr="00E91F6E" w:rsidRDefault="0065507A" w:rsidP="000D3BEC">
      <w:pPr>
        <w:widowControl/>
        <w:ind w:left="720"/>
        <w:jc w:val="both"/>
        <w:rPr>
          <w:sz w:val="22"/>
        </w:rPr>
      </w:pPr>
    </w:p>
    <w:p w14:paraId="0AF66AA4" w14:textId="560E49F2" w:rsidR="00B25EE0" w:rsidRPr="00E91F6E" w:rsidRDefault="0068020D" w:rsidP="000D3BEC">
      <w:pPr>
        <w:widowControl/>
        <w:ind w:left="720"/>
        <w:jc w:val="both"/>
        <w:rPr>
          <w:sz w:val="22"/>
        </w:rPr>
      </w:pPr>
      <w:r w:rsidRPr="00E91F6E">
        <w:rPr>
          <w:b/>
          <w:sz w:val="22"/>
          <w:szCs w:val="22"/>
          <w:highlight w:val="green"/>
        </w:rPr>
        <w:t xml:space="preserve">The </w:t>
      </w:r>
      <w:r w:rsidR="00530B82" w:rsidRPr="00E91F6E">
        <w:rPr>
          <w:b/>
          <w:sz w:val="22"/>
          <w:szCs w:val="22"/>
          <w:highlight w:val="green"/>
        </w:rPr>
        <w:t>long term obligations</w:t>
      </w:r>
      <w:r w:rsidRPr="00E91F6E">
        <w:rPr>
          <w:b/>
          <w:sz w:val="22"/>
          <w:szCs w:val="22"/>
          <w:highlight w:val="green"/>
        </w:rPr>
        <w:t xml:space="preserve"> disclosur</w:t>
      </w:r>
      <w:r w:rsidR="00530B82" w:rsidRPr="00E91F6E">
        <w:rPr>
          <w:b/>
          <w:sz w:val="22"/>
          <w:szCs w:val="22"/>
          <w:highlight w:val="green"/>
        </w:rPr>
        <w:t>e</w:t>
      </w:r>
      <w:r w:rsidR="00A42AF7" w:rsidRPr="00E91F6E">
        <w:rPr>
          <w:b/>
          <w:sz w:val="22"/>
          <w:szCs w:val="22"/>
          <w:highlight w:val="green"/>
        </w:rPr>
        <w:t xml:space="preserve"> describe liabilities of the County that are anticipated to exist for more than one year</w:t>
      </w:r>
      <w:r w:rsidR="009F1611" w:rsidRPr="00E91F6E">
        <w:rPr>
          <w:b/>
          <w:sz w:val="22"/>
          <w:szCs w:val="22"/>
          <w:highlight w:val="green"/>
        </w:rPr>
        <w:t xml:space="preserve">.  If there are no long term obligations </w:t>
      </w:r>
      <w:r w:rsidR="00502CCB" w:rsidRPr="00E91F6E">
        <w:rPr>
          <w:b/>
          <w:sz w:val="22"/>
          <w:szCs w:val="22"/>
          <w:highlight w:val="green"/>
        </w:rPr>
        <w:t xml:space="preserve">(such as judgments or general obligation bonds) </w:t>
      </w:r>
      <w:r w:rsidR="009F1611" w:rsidRPr="00E91F6E">
        <w:rPr>
          <w:b/>
          <w:sz w:val="22"/>
          <w:szCs w:val="22"/>
          <w:highlight w:val="green"/>
        </w:rPr>
        <w:t>this disclosure should be removed</w:t>
      </w:r>
      <w:r w:rsidR="00530B82" w:rsidRPr="00E91F6E">
        <w:rPr>
          <w:b/>
          <w:sz w:val="22"/>
          <w:szCs w:val="22"/>
          <w:highlight w:val="green"/>
        </w:rPr>
        <w:t>.</w:t>
      </w:r>
    </w:p>
    <w:p w14:paraId="1C9E895A" w14:textId="77777777" w:rsidR="00E84679" w:rsidRPr="00E91F6E" w:rsidRDefault="00DB29D5" w:rsidP="000D3BEC">
      <w:pPr>
        <w:pStyle w:val="ListParagraph"/>
        <w:numPr>
          <w:ilvl w:val="0"/>
          <w:numId w:val="11"/>
        </w:numPr>
        <w:jc w:val="both"/>
        <w:rPr>
          <w:b/>
          <w:sz w:val="22"/>
          <w:u w:val="single"/>
        </w:rPr>
      </w:pPr>
      <w:r w:rsidRPr="00E91F6E">
        <w:rPr>
          <w:b/>
          <w:sz w:val="22"/>
          <w:u w:val="single"/>
        </w:rPr>
        <w:t>Long Term Obli</w:t>
      </w:r>
      <w:r w:rsidR="00E84679" w:rsidRPr="00E91F6E">
        <w:rPr>
          <w:b/>
          <w:sz w:val="22"/>
          <w:u w:val="single"/>
        </w:rPr>
        <w:t>gations</w:t>
      </w:r>
    </w:p>
    <w:p w14:paraId="090800F0" w14:textId="1FDE98BD" w:rsidR="00E84679" w:rsidRPr="00E91F6E" w:rsidRDefault="00E84679" w:rsidP="000D3BEC">
      <w:pPr>
        <w:pStyle w:val="ListParagraph"/>
        <w:ind w:left="1080"/>
        <w:jc w:val="both"/>
        <w:rPr>
          <w:b/>
          <w:sz w:val="22"/>
        </w:rPr>
      </w:pPr>
    </w:p>
    <w:p w14:paraId="39965F68" w14:textId="64107C37" w:rsidR="00B25EE0" w:rsidRPr="00E91F6E" w:rsidRDefault="00A42AF7" w:rsidP="000D3BEC">
      <w:pPr>
        <w:pStyle w:val="ListParagraph"/>
        <w:ind w:left="1080"/>
        <w:jc w:val="both"/>
        <w:rPr>
          <w:b/>
          <w:sz w:val="22"/>
          <w:highlight w:val="yellow"/>
        </w:rPr>
      </w:pPr>
      <w:r w:rsidRPr="00E91F6E">
        <w:rPr>
          <w:b/>
          <w:sz w:val="22"/>
          <w:szCs w:val="22"/>
          <w:highlight w:val="green"/>
        </w:rPr>
        <w:t>Judgments refer to court ordered liabilities.  This disclosure includes the original amount of the judgment, and the future principal and interest payments per all future fiscal years.  If future payments extend beyond five years, payments beginning in the sixth year may be combined in a single line item</w:t>
      </w:r>
      <w:r w:rsidR="00CE3436" w:rsidRPr="00E91F6E">
        <w:rPr>
          <w:b/>
          <w:sz w:val="22"/>
          <w:szCs w:val="22"/>
          <w:highlight w:val="green"/>
        </w:rPr>
        <w:t>.</w:t>
      </w:r>
      <w:r w:rsidR="00CB67A9" w:rsidRPr="00E91F6E">
        <w:rPr>
          <w:b/>
          <w:sz w:val="22"/>
          <w:szCs w:val="22"/>
          <w:highlight w:val="green"/>
        </w:rPr>
        <w:t xml:space="preserve">  If the County did not have any judgme</w:t>
      </w:r>
      <w:r w:rsidR="009F1611" w:rsidRPr="00E91F6E">
        <w:rPr>
          <w:b/>
          <w:sz w:val="22"/>
          <w:szCs w:val="22"/>
          <w:highlight w:val="green"/>
        </w:rPr>
        <w:t>nts in the fiscal year reported</w:t>
      </w:r>
      <w:r w:rsidR="00CB67A9" w:rsidRPr="00E91F6E">
        <w:rPr>
          <w:b/>
          <w:sz w:val="22"/>
          <w:szCs w:val="22"/>
          <w:highlight w:val="green"/>
        </w:rPr>
        <w:t xml:space="preserve"> this disclosure should be removed.</w:t>
      </w:r>
    </w:p>
    <w:p w14:paraId="1318B65B" w14:textId="77777777" w:rsidR="00E84679" w:rsidRPr="00E91F6E" w:rsidRDefault="00E84679" w:rsidP="000D3BEC">
      <w:pPr>
        <w:pStyle w:val="ListParagraph"/>
        <w:numPr>
          <w:ilvl w:val="0"/>
          <w:numId w:val="13"/>
        </w:numPr>
        <w:jc w:val="both"/>
        <w:rPr>
          <w:b/>
          <w:sz w:val="22"/>
        </w:rPr>
      </w:pPr>
      <w:r w:rsidRPr="00E91F6E">
        <w:rPr>
          <w:b/>
          <w:sz w:val="22"/>
          <w:u w:val="single"/>
        </w:rPr>
        <w:t>Judgments</w:t>
      </w:r>
    </w:p>
    <w:p w14:paraId="36187941" w14:textId="77777777" w:rsidR="00E84679" w:rsidRPr="00E91F6E" w:rsidRDefault="00E84679" w:rsidP="000D3BEC">
      <w:pPr>
        <w:widowControl/>
        <w:ind w:left="720"/>
        <w:jc w:val="both"/>
        <w:rPr>
          <w:sz w:val="22"/>
        </w:rPr>
      </w:pPr>
    </w:p>
    <w:p w14:paraId="63F0954B" w14:textId="77777777" w:rsidR="00E84679" w:rsidRPr="00E91F6E" w:rsidRDefault="00E84679" w:rsidP="000D3BEC">
      <w:pPr>
        <w:widowControl/>
        <w:ind w:left="1440"/>
        <w:jc w:val="both"/>
        <w:rPr>
          <w:sz w:val="22"/>
          <w:szCs w:val="22"/>
        </w:rPr>
      </w:pPr>
      <w:r w:rsidRPr="00E91F6E">
        <w:rPr>
          <w:sz w:val="22"/>
          <w:szCs w:val="22"/>
        </w:rPr>
        <w:t>The County has a judgment which is being retired by a tax levy. The County is obligated to pay</w:t>
      </w:r>
      <w:r w:rsidR="00734C9B" w:rsidRPr="00E91F6E">
        <w:rPr>
          <w:sz w:val="22"/>
          <w:szCs w:val="22"/>
        </w:rPr>
        <w:t xml:space="preserve"> </w:t>
      </w:r>
      <w:r w:rsidRPr="00E91F6E">
        <w:rPr>
          <w:sz w:val="22"/>
          <w:szCs w:val="22"/>
        </w:rPr>
        <w:t>the judgment over a three-year period.</w:t>
      </w:r>
    </w:p>
    <w:p w14:paraId="1F9C408E" w14:textId="77777777" w:rsidR="00E84679" w:rsidRPr="00E91F6E" w:rsidRDefault="00E84679" w:rsidP="000D3BEC">
      <w:pPr>
        <w:widowControl/>
        <w:ind w:left="720" w:firstLine="720"/>
        <w:jc w:val="both"/>
        <w:rPr>
          <w:sz w:val="22"/>
          <w:szCs w:val="22"/>
        </w:rPr>
      </w:pPr>
    </w:p>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430"/>
      </w:tblGrid>
      <w:tr w:rsidR="00E84679" w:rsidRPr="00E91F6E" w14:paraId="36DCEAF1" w14:textId="77777777" w:rsidTr="00E84679">
        <w:tc>
          <w:tcPr>
            <w:tcW w:w="2610" w:type="dxa"/>
          </w:tcPr>
          <w:p w14:paraId="4865470D" w14:textId="77777777" w:rsidR="00E84679" w:rsidRPr="00E91F6E" w:rsidRDefault="00E84679" w:rsidP="000D3BEC">
            <w:pPr>
              <w:widowControl/>
              <w:jc w:val="both"/>
              <w:rPr>
                <w:b/>
                <w:sz w:val="22"/>
                <w:szCs w:val="22"/>
                <w:u w:val="single"/>
              </w:rPr>
            </w:pPr>
            <w:r w:rsidRPr="00E91F6E">
              <w:rPr>
                <w:b/>
                <w:sz w:val="22"/>
                <w:szCs w:val="22"/>
                <w:u w:val="single"/>
              </w:rPr>
              <w:t>Case Number</w:t>
            </w:r>
          </w:p>
        </w:tc>
        <w:tc>
          <w:tcPr>
            <w:tcW w:w="2430" w:type="dxa"/>
          </w:tcPr>
          <w:p w14:paraId="706391CA" w14:textId="77777777" w:rsidR="00E84679" w:rsidRPr="00E91F6E" w:rsidRDefault="00E84679" w:rsidP="000D3BEC">
            <w:pPr>
              <w:widowControl/>
              <w:jc w:val="both"/>
              <w:rPr>
                <w:b/>
                <w:sz w:val="22"/>
                <w:szCs w:val="22"/>
                <w:u w:val="single"/>
              </w:rPr>
            </w:pPr>
            <w:r w:rsidRPr="00E91F6E">
              <w:rPr>
                <w:b/>
                <w:sz w:val="22"/>
                <w:szCs w:val="22"/>
                <w:u w:val="single"/>
              </w:rPr>
              <w:t>Original Judgment</w:t>
            </w:r>
          </w:p>
        </w:tc>
      </w:tr>
      <w:tr w:rsidR="00E84679" w:rsidRPr="00E91F6E" w14:paraId="1D839DBE" w14:textId="77777777" w:rsidTr="00E84679">
        <w:tc>
          <w:tcPr>
            <w:tcW w:w="2610" w:type="dxa"/>
          </w:tcPr>
          <w:p w14:paraId="542E036E" w14:textId="603A1CB2" w:rsidR="00E84679" w:rsidRPr="00E91F6E" w:rsidRDefault="00CE3436" w:rsidP="000D3BEC">
            <w:pPr>
              <w:widowControl/>
              <w:jc w:val="both"/>
              <w:rPr>
                <w:sz w:val="22"/>
                <w:szCs w:val="22"/>
              </w:rPr>
            </w:pPr>
            <w:r w:rsidRPr="00E91F6E">
              <w:rPr>
                <w:sz w:val="22"/>
                <w:szCs w:val="22"/>
              </w:rPr>
              <w:t>CJ-2018</w:t>
            </w:r>
            <w:r w:rsidR="00E84679" w:rsidRPr="00E91F6E">
              <w:rPr>
                <w:sz w:val="22"/>
                <w:szCs w:val="22"/>
              </w:rPr>
              <w:t>-3720</w:t>
            </w:r>
          </w:p>
        </w:tc>
        <w:tc>
          <w:tcPr>
            <w:tcW w:w="2430" w:type="dxa"/>
          </w:tcPr>
          <w:p w14:paraId="044671AD" w14:textId="77777777" w:rsidR="00E84679" w:rsidRPr="00E91F6E" w:rsidRDefault="00E84679" w:rsidP="000D3BEC">
            <w:pPr>
              <w:widowControl/>
              <w:ind w:right="252"/>
              <w:jc w:val="center"/>
              <w:rPr>
                <w:sz w:val="22"/>
                <w:szCs w:val="22"/>
              </w:rPr>
            </w:pPr>
            <w:r w:rsidRPr="00E91F6E">
              <w:rPr>
                <w:sz w:val="22"/>
                <w:szCs w:val="22"/>
              </w:rPr>
              <w:t>$244,065</w:t>
            </w:r>
          </w:p>
        </w:tc>
      </w:tr>
    </w:tbl>
    <w:p w14:paraId="5D4735B9" w14:textId="77777777" w:rsidR="00E84679" w:rsidRPr="00E91F6E" w:rsidRDefault="00E84679" w:rsidP="000D3BEC">
      <w:pPr>
        <w:widowControl/>
        <w:ind w:left="720" w:firstLine="720"/>
        <w:jc w:val="both"/>
        <w:rPr>
          <w:sz w:val="22"/>
          <w:szCs w:val="22"/>
        </w:rPr>
      </w:pPr>
    </w:p>
    <w:p w14:paraId="0FE4E0CA" w14:textId="77777777" w:rsidR="00E84679" w:rsidRPr="00E91F6E" w:rsidRDefault="00E84679" w:rsidP="000D3BEC">
      <w:pPr>
        <w:widowControl/>
        <w:ind w:left="1440"/>
        <w:jc w:val="both"/>
        <w:rPr>
          <w:sz w:val="22"/>
          <w:szCs w:val="22"/>
        </w:rPr>
      </w:pPr>
      <w:r w:rsidRPr="00E91F6E">
        <w:rPr>
          <w:sz w:val="22"/>
          <w:szCs w:val="22"/>
        </w:rPr>
        <w:lastRenderedPageBreak/>
        <w:t>Future principal and interest payments that will become due on the existing judgment are as</w:t>
      </w:r>
      <w:r w:rsidR="00734C9B" w:rsidRPr="00E91F6E">
        <w:rPr>
          <w:sz w:val="22"/>
          <w:szCs w:val="22"/>
        </w:rPr>
        <w:t xml:space="preserve"> </w:t>
      </w:r>
      <w:r w:rsidRPr="00E91F6E">
        <w:rPr>
          <w:sz w:val="22"/>
          <w:szCs w:val="22"/>
        </w:rPr>
        <w:t>follows:</w:t>
      </w:r>
    </w:p>
    <w:p w14:paraId="71E0024D" w14:textId="77777777" w:rsidR="00D87557" w:rsidRPr="00E91F6E" w:rsidRDefault="00D87557" w:rsidP="000D3BEC">
      <w:pPr>
        <w:widowControl/>
        <w:ind w:left="1440"/>
        <w:jc w:val="both"/>
        <w:rPr>
          <w:sz w:val="22"/>
          <w:szCs w:val="22"/>
        </w:rPr>
      </w:pPr>
    </w:p>
    <w:tbl>
      <w:tblPr>
        <w:tblStyle w:val="TableGrid"/>
        <w:tblW w:w="8172"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2226"/>
        <w:gridCol w:w="2208"/>
        <w:gridCol w:w="1536"/>
      </w:tblGrid>
      <w:tr w:rsidR="00E84679" w:rsidRPr="00E91F6E" w14:paraId="32C47DC9" w14:textId="77777777" w:rsidTr="001445A6">
        <w:tc>
          <w:tcPr>
            <w:tcW w:w="2202" w:type="dxa"/>
          </w:tcPr>
          <w:p w14:paraId="39C54560" w14:textId="77777777" w:rsidR="00E84679" w:rsidRPr="00E91F6E" w:rsidRDefault="00E84679" w:rsidP="000D3BEC">
            <w:pPr>
              <w:widowControl/>
              <w:jc w:val="center"/>
              <w:rPr>
                <w:b/>
                <w:sz w:val="22"/>
                <w:szCs w:val="22"/>
                <w:u w:val="single"/>
              </w:rPr>
            </w:pPr>
            <w:r w:rsidRPr="00E91F6E">
              <w:rPr>
                <w:b/>
                <w:sz w:val="22"/>
                <w:szCs w:val="22"/>
                <w:u w:val="single"/>
              </w:rPr>
              <w:t>Year Ending</w:t>
            </w:r>
          </w:p>
          <w:p w14:paraId="60034206" w14:textId="77777777" w:rsidR="00E84679" w:rsidRPr="00E91F6E" w:rsidRDefault="00E84679" w:rsidP="000D3BEC">
            <w:pPr>
              <w:widowControl/>
              <w:jc w:val="center"/>
              <w:rPr>
                <w:b/>
                <w:sz w:val="22"/>
                <w:szCs w:val="22"/>
                <w:u w:val="single"/>
              </w:rPr>
            </w:pPr>
            <w:r w:rsidRPr="00E91F6E">
              <w:rPr>
                <w:b/>
                <w:sz w:val="22"/>
                <w:szCs w:val="22"/>
                <w:u w:val="single"/>
              </w:rPr>
              <w:t>June 30,</w:t>
            </w:r>
          </w:p>
        </w:tc>
        <w:tc>
          <w:tcPr>
            <w:tcW w:w="2226" w:type="dxa"/>
          </w:tcPr>
          <w:p w14:paraId="7808CB53" w14:textId="77777777" w:rsidR="00E84679" w:rsidRPr="00E91F6E" w:rsidRDefault="00E84679" w:rsidP="000D3BEC">
            <w:pPr>
              <w:widowControl/>
              <w:jc w:val="center"/>
              <w:rPr>
                <w:b/>
                <w:sz w:val="22"/>
                <w:szCs w:val="22"/>
                <w:u w:val="single"/>
              </w:rPr>
            </w:pPr>
          </w:p>
          <w:p w14:paraId="046D259E" w14:textId="77777777" w:rsidR="00E84679" w:rsidRPr="00E91F6E" w:rsidRDefault="00E84679" w:rsidP="000D3BEC">
            <w:pPr>
              <w:widowControl/>
              <w:jc w:val="center"/>
              <w:rPr>
                <w:b/>
                <w:sz w:val="22"/>
                <w:szCs w:val="22"/>
                <w:u w:val="single"/>
              </w:rPr>
            </w:pPr>
            <w:r w:rsidRPr="00E91F6E">
              <w:rPr>
                <w:b/>
                <w:sz w:val="22"/>
                <w:szCs w:val="22"/>
                <w:u w:val="single"/>
              </w:rPr>
              <w:t>Principal</w:t>
            </w:r>
          </w:p>
        </w:tc>
        <w:tc>
          <w:tcPr>
            <w:tcW w:w="2208" w:type="dxa"/>
          </w:tcPr>
          <w:p w14:paraId="6A48D89E" w14:textId="77777777" w:rsidR="00E84679" w:rsidRPr="00E91F6E" w:rsidRDefault="00E84679" w:rsidP="000D3BEC">
            <w:pPr>
              <w:widowControl/>
              <w:jc w:val="center"/>
              <w:rPr>
                <w:b/>
                <w:sz w:val="22"/>
                <w:szCs w:val="22"/>
                <w:u w:val="single"/>
              </w:rPr>
            </w:pPr>
          </w:p>
          <w:p w14:paraId="07AB0469" w14:textId="77777777" w:rsidR="00E84679" w:rsidRPr="00E91F6E" w:rsidRDefault="00E84679" w:rsidP="000D3BEC">
            <w:pPr>
              <w:widowControl/>
              <w:jc w:val="center"/>
              <w:rPr>
                <w:b/>
                <w:sz w:val="22"/>
                <w:szCs w:val="22"/>
                <w:u w:val="single"/>
              </w:rPr>
            </w:pPr>
            <w:r w:rsidRPr="00E91F6E">
              <w:rPr>
                <w:b/>
                <w:sz w:val="22"/>
                <w:szCs w:val="22"/>
                <w:u w:val="single"/>
              </w:rPr>
              <w:t>Interest</w:t>
            </w:r>
          </w:p>
        </w:tc>
        <w:tc>
          <w:tcPr>
            <w:tcW w:w="1536" w:type="dxa"/>
          </w:tcPr>
          <w:p w14:paraId="46D4EFE9" w14:textId="77777777" w:rsidR="00E84679" w:rsidRPr="00E91F6E" w:rsidRDefault="00E84679" w:rsidP="000D3BEC">
            <w:pPr>
              <w:widowControl/>
              <w:jc w:val="center"/>
              <w:rPr>
                <w:b/>
                <w:sz w:val="22"/>
                <w:szCs w:val="22"/>
                <w:u w:val="single"/>
              </w:rPr>
            </w:pPr>
          </w:p>
          <w:p w14:paraId="72048739" w14:textId="77777777" w:rsidR="00E84679" w:rsidRPr="00E91F6E" w:rsidRDefault="00E84679" w:rsidP="000D3BEC">
            <w:pPr>
              <w:widowControl/>
              <w:jc w:val="center"/>
              <w:rPr>
                <w:b/>
                <w:sz w:val="22"/>
                <w:szCs w:val="22"/>
                <w:u w:val="single"/>
              </w:rPr>
            </w:pPr>
            <w:r w:rsidRPr="00E91F6E">
              <w:rPr>
                <w:b/>
                <w:sz w:val="22"/>
                <w:szCs w:val="22"/>
                <w:u w:val="single"/>
              </w:rPr>
              <w:t>Total</w:t>
            </w:r>
          </w:p>
        </w:tc>
      </w:tr>
      <w:tr w:rsidR="00E84679" w:rsidRPr="00E91F6E" w14:paraId="3ED08935" w14:textId="77777777" w:rsidTr="001445A6">
        <w:tc>
          <w:tcPr>
            <w:tcW w:w="2202" w:type="dxa"/>
          </w:tcPr>
          <w:p w14:paraId="371A4709" w14:textId="77777777" w:rsidR="00E84679" w:rsidRPr="00E91F6E" w:rsidRDefault="00E84679" w:rsidP="000D3BEC">
            <w:pPr>
              <w:widowControl/>
              <w:jc w:val="center"/>
              <w:rPr>
                <w:sz w:val="22"/>
                <w:szCs w:val="22"/>
              </w:rPr>
            </w:pPr>
          </w:p>
        </w:tc>
        <w:tc>
          <w:tcPr>
            <w:tcW w:w="2226" w:type="dxa"/>
          </w:tcPr>
          <w:p w14:paraId="0623F4E5" w14:textId="77777777" w:rsidR="00E84679" w:rsidRPr="00E91F6E" w:rsidRDefault="00E84679" w:rsidP="000D3BEC">
            <w:pPr>
              <w:widowControl/>
              <w:jc w:val="center"/>
              <w:rPr>
                <w:sz w:val="22"/>
                <w:szCs w:val="22"/>
              </w:rPr>
            </w:pPr>
          </w:p>
        </w:tc>
        <w:tc>
          <w:tcPr>
            <w:tcW w:w="2208" w:type="dxa"/>
          </w:tcPr>
          <w:p w14:paraId="2C76B9C1" w14:textId="77777777" w:rsidR="00E84679" w:rsidRPr="00E91F6E" w:rsidRDefault="00E84679" w:rsidP="000D3BEC">
            <w:pPr>
              <w:widowControl/>
              <w:jc w:val="center"/>
              <w:rPr>
                <w:sz w:val="22"/>
                <w:szCs w:val="22"/>
              </w:rPr>
            </w:pPr>
          </w:p>
        </w:tc>
        <w:tc>
          <w:tcPr>
            <w:tcW w:w="1536" w:type="dxa"/>
          </w:tcPr>
          <w:p w14:paraId="61C0DC4E" w14:textId="77777777" w:rsidR="00E84679" w:rsidRPr="00E91F6E" w:rsidRDefault="00E84679" w:rsidP="000D3BEC">
            <w:pPr>
              <w:widowControl/>
              <w:jc w:val="center"/>
              <w:rPr>
                <w:sz w:val="22"/>
                <w:szCs w:val="22"/>
              </w:rPr>
            </w:pPr>
          </w:p>
        </w:tc>
      </w:tr>
      <w:tr w:rsidR="00E84679" w:rsidRPr="00E91F6E" w14:paraId="302ECAE7" w14:textId="77777777" w:rsidTr="001445A6">
        <w:tc>
          <w:tcPr>
            <w:tcW w:w="2202" w:type="dxa"/>
          </w:tcPr>
          <w:p w14:paraId="612C8D2B" w14:textId="27F95092" w:rsidR="00E84679" w:rsidRPr="00E91F6E" w:rsidRDefault="008962DA" w:rsidP="000D3BEC">
            <w:pPr>
              <w:widowControl/>
              <w:jc w:val="center"/>
              <w:rPr>
                <w:sz w:val="22"/>
                <w:szCs w:val="22"/>
              </w:rPr>
            </w:pPr>
            <w:r w:rsidRPr="00E91F6E">
              <w:rPr>
                <w:sz w:val="22"/>
                <w:szCs w:val="22"/>
              </w:rPr>
              <w:t>201</w:t>
            </w:r>
            <w:r w:rsidR="00CE3436" w:rsidRPr="00E91F6E">
              <w:rPr>
                <w:sz w:val="22"/>
                <w:szCs w:val="22"/>
              </w:rPr>
              <w:t>9</w:t>
            </w:r>
          </w:p>
        </w:tc>
        <w:tc>
          <w:tcPr>
            <w:tcW w:w="2226" w:type="dxa"/>
          </w:tcPr>
          <w:p w14:paraId="05309F70" w14:textId="6E534566" w:rsidR="00E84679" w:rsidRPr="00E91F6E" w:rsidRDefault="00CE3436" w:rsidP="000D3BEC">
            <w:pPr>
              <w:widowControl/>
              <w:tabs>
                <w:tab w:val="right" w:pos="1308"/>
              </w:tabs>
              <w:jc w:val="center"/>
              <w:rPr>
                <w:sz w:val="22"/>
                <w:szCs w:val="22"/>
              </w:rPr>
            </w:pPr>
            <w:r w:rsidRPr="00E91F6E">
              <w:rPr>
                <w:sz w:val="22"/>
                <w:szCs w:val="22"/>
              </w:rPr>
              <w:t>$ 81,355</w:t>
            </w:r>
          </w:p>
        </w:tc>
        <w:tc>
          <w:tcPr>
            <w:tcW w:w="2208" w:type="dxa"/>
          </w:tcPr>
          <w:p w14:paraId="356145FC" w14:textId="77777777" w:rsidR="00E84679" w:rsidRPr="00E91F6E" w:rsidRDefault="001445A6" w:rsidP="000D3BEC">
            <w:pPr>
              <w:widowControl/>
              <w:jc w:val="center"/>
              <w:rPr>
                <w:sz w:val="22"/>
                <w:szCs w:val="22"/>
              </w:rPr>
            </w:pPr>
            <w:r w:rsidRPr="00E91F6E">
              <w:rPr>
                <w:sz w:val="22"/>
                <w:szCs w:val="22"/>
              </w:rPr>
              <w:t>$</w:t>
            </w:r>
            <w:r w:rsidR="00E84679" w:rsidRPr="00E91F6E">
              <w:rPr>
                <w:sz w:val="22"/>
                <w:szCs w:val="22"/>
              </w:rPr>
              <w:t>16,271</w:t>
            </w:r>
          </w:p>
        </w:tc>
        <w:tc>
          <w:tcPr>
            <w:tcW w:w="1536" w:type="dxa"/>
          </w:tcPr>
          <w:p w14:paraId="6FC69429" w14:textId="77777777" w:rsidR="00E84679" w:rsidRPr="00E91F6E" w:rsidRDefault="001445A6" w:rsidP="000D3BEC">
            <w:pPr>
              <w:widowControl/>
              <w:jc w:val="center"/>
              <w:rPr>
                <w:sz w:val="22"/>
                <w:szCs w:val="22"/>
              </w:rPr>
            </w:pPr>
            <w:r w:rsidRPr="00E91F6E">
              <w:rPr>
                <w:sz w:val="22"/>
                <w:szCs w:val="22"/>
              </w:rPr>
              <w:t xml:space="preserve">$  </w:t>
            </w:r>
            <w:r w:rsidR="00E84679" w:rsidRPr="00E91F6E">
              <w:rPr>
                <w:sz w:val="22"/>
                <w:szCs w:val="22"/>
              </w:rPr>
              <w:t>97,626</w:t>
            </w:r>
          </w:p>
        </w:tc>
      </w:tr>
      <w:tr w:rsidR="00E84679" w:rsidRPr="00E91F6E" w14:paraId="3AFAC9DB" w14:textId="77777777" w:rsidTr="001445A6">
        <w:tc>
          <w:tcPr>
            <w:tcW w:w="2202" w:type="dxa"/>
          </w:tcPr>
          <w:p w14:paraId="0E2AC9E0" w14:textId="6D79930F" w:rsidR="00E84679" w:rsidRPr="00E91F6E" w:rsidRDefault="00CE3436" w:rsidP="000D3BEC">
            <w:pPr>
              <w:widowControl/>
              <w:jc w:val="center"/>
              <w:rPr>
                <w:sz w:val="22"/>
                <w:szCs w:val="22"/>
              </w:rPr>
            </w:pPr>
            <w:r w:rsidRPr="00E91F6E">
              <w:rPr>
                <w:sz w:val="22"/>
                <w:szCs w:val="22"/>
              </w:rPr>
              <w:t>2020</w:t>
            </w:r>
          </w:p>
        </w:tc>
        <w:tc>
          <w:tcPr>
            <w:tcW w:w="2226" w:type="dxa"/>
          </w:tcPr>
          <w:p w14:paraId="1A8F5491" w14:textId="77777777" w:rsidR="00E84679" w:rsidRPr="00E91F6E" w:rsidRDefault="00E45443" w:rsidP="000D3BEC">
            <w:pPr>
              <w:widowControl/>
              <w:jc w:val="center"/>
              <w:rPr>
                <w:sz w:val="22"/>
                <w:szCs w:val="22"/>
              </w:rPr>
            </w:pPr>
            <w:r w:rsidRPr="00E91F6E">
              <w:rPr>
                <w:sz w:val="22"/>
                <w:szCs w:val="22"/>
              </w:rPr>
              <w:t xml:space="preserve">   </w:t>
            </w:r>
            <w:r w:rsidR="00E84679" w:rsidRPr="00E91F6E">
              <w:rPr>
                <w:sz w:val="22"/>
                <w:szCs w:val="22"/>
              </w:rPr>
              <w:t>81,355</w:t>
            </w:r>
          </w:p>
        </w:tc>
        <w:tc>
          <w:tcPr>
            <w:tcW w:w="2208" w:type="dxa"/>
          </w:tcPr>
          <w:p w14:paraId="07AC0F61" w14:textId="77777777" w:rsidR="00E84679" w:rsidRPr="00E91F6E" w:rsidRDefault="001445A6" w:rsidP="000D3BEC">
            <w:pPr>
              <w:widowControl/>
              <w:jc w:val="center"/>
              <w:rPr>
                <w:sz w:val="22"/>
                <w:szCs w:val="22"/>
              </w:rPr>
            </w:pPr>
            <w:r w:rsidRPr="00E91F6E">
              <w:rPr>
                <w:sz w:val="22"/>
                <w:szCs w:val="22"/>
              </w:rPr>
              <w:t xml:space="preserve">  </w:t>
            </w:r>
            <w:r w:rsidR="00E84679" w:rsidRPr="00E91F6E">
              <w:rPr>
                <w:sz w:val="22"/>
                <w:szCs w:val="22"/>
              </w:rPr>
              <w:t>11,390</w:t>
            </w:r>
          </w:p>
        </w:tc>
        <w:tc>
          <w:tcPr>
            <w:tcW w:w="1536" w:type="dxa"/>
          </w:tcPr>
          <w:p w14:paraId="6ED6A166" w14:textId="77777777" w:rsidR="00E84679" w:rsidRPr="00E91F6E" w:rsidRDefault="001445A6" w:rsidP="000D3BEC">
            <w:pPr>
              <w:widowControl/>
              <w:jc w:val="center"/>
              <w:rPr>
                <w:sz w:val="22"/>
                <w:szCs w:val="22"/>
              </w:rPr>
            </w:pPr>
            <w:r w:rsidRPr="00E91F6E">
              <w:rPr>
                <w:sz w:val="22"/>
                <w:szCs w:val="22"/>
              </w:rPr>
              <w:t xml:space="preserve">    </w:t>
            </w:r>
            <w:r w:rsidR="00E84679" w:rsidRPr="00E91F6E">
              <w:rPr>
                <w:sz w:val="22"/>
                <w:szCs w:val="22"/>
              </w:rPr>
              <w:t>92,745</w:t>
            </w:r>
          </w:p>
        </w:tc>
      </w:tr>
      <w:tr w:rsidR="00E84679" w:rsidRPr="00E91F6E" w14:paraId="3DC75AFC" w14:textId="77777777" w:rsidTr="001445A6">
        <w:tc>
          <w:tcPr>
            <w:tcW w:w="2202" w:type="dxa"/>
          </w:tcPr>
          <w:p w14:paraId="421E9D84" w14:textId="2F92C616" w:rsidR="00E84679" w:rsidRPr="00E91F6E" w:rsidRDefault="00CE3436" w:rsidP="000D3BEC">
            <w:pPr>
              <w:widowControl/>
              <w:jc w:val="center"/>
              <w:rPr>
                <w:sz w:val="22"/>
                <w:szCs w:val="22"/>
              </w:rPr>
            </w:pPr>
            <w:r w:rsidRPr="00E91F6E">
              <w:rPr>
                <w:sz w:val="22"/>
                <w:szCs w:val="22"/>
              </w:rPr>
              <w:t>2021</w:t>
            </w:r>
          </w:p>
        </w:tc>
        <w:tc>
          <w:tcPr>
            <w:tcW w:w="2226" w:type="dxa"/>
          </w:tcPr>
          <w:p w14:paraId="2B8DAB51" w14:textId="77777777" w:rsidR="00E84679" w:rsidRPr="00E91F6E" w:rsidRDefault="00E45443" w:rsidP="000D3BEC">
            <w:pPr>
              <w:widowControl/>
              <w:tabs>
                <w:tab w:val="right" w:pos="1308"/>
              </w:tabs>
              <w:jc w:val="center"/>
              <w:rPr>
                <w:sz w:val="22"/>
                <w:szCs w:val="22"/>
                <w:u w:val="single"/>
              </w:rPr>
            </w:pPr>
            <w:r w:rsidRPr="00E91F6E">
              <w:rPr>
                <w:sz w:val="22"/>
                <w:szCs w:val="22"/>
                <w:u w:val="single"/>
              </w:rPr>
              <w:t xml:space="preserve">   </w:t>
            </w:r>
            <w:r w:rsidR="00E84679" w:rsidRPr="00E91F6E">
              <w:rPr>
                <w:sz w:val="22"/>
                <w:szCs w:val="22"/>
                <w:u w:val="single"/>
              </w:rPr>
              <w:t>81,355</w:t>
            </w:r>
          </w:p>
        </w:tc>
        <w:tc>
          <w:tcPr>
            <w:tcW w:w="2208" w:type="dxa"/>
          </w:tcPr>
          <w:p w14:paraId="74F21E82" w14:textId="77777777" w:rsidR="00E84679" w:rsidRPr="00E91F6E" w:rsidRDefault="001445A6" w:rsidP="000D3BEC">
            <w:pPr>
              <w:widowControl/>
              <w:jc w:val="center"/>
              <w:rPr>
                <w:sz w:val="22"/>
                <w:szCs w:val="22"/>
                <w:u w:val="single"/>
              </w:rPr>
            </w:pPr>
            <w:r w:rsidRPr="00E91F6E">
              <w:rPr>
                <w:sz w:val="22"/>
                <w:szCs w:val="22"/>
                <w:u w:val="single"/>
              </w:rPr>
              <w:t xml:space="preserve">   </w:t>
            </w:r>
            <w:r w:rsidR="00E84679" w:rsidRPr="00E91F6E">
              <w:rPr>
                <w:sz w:val="22"/>
                <w:szCs w:val="22"/>
                <w:u w:val="single"/>
              </w:rPr>
              <w:t>5,695</w:t>
            </w:r>
          </w:p>
        </w:tc>
        <w:tc>
          <w:tcPr>
            <w:tcW w:w="1536" w:type="dxa"/>
          </w:tcPr>
          <w:p w14:paraId="07896A80" w14:textId="77777777" w:rsidR="00E84679" w:rsidRPr="00E91F6E" w:rsidRDefault="001445A6" w:rsidP="000D3BEC">
            <w:pPr>
              <w:widowControl/>
              <w:jc w:val="center"/>
              <w:rPr>
                <w:sz w:val="22"/>
                <w:szCs w:val="22"/>
                <w:u w:val="single"/>
              </w:rPr>
            </w:pPr>
            <w:r w:rsidRPr="00E91F6E">
              <w:rPr>
                <w:sz w:val="22"/>
                <w:szCs w:val="22"/>
              </w:rPr>
              <w:t xml:space="preserve"> </w:t>
            </w:r>
            <w:r w:rsidRPr="00E91F6E">
              <w:rPr>
                <w:sz w:val="22"/>
                <w:szCs w:val="22"/>
                <w:u w:val="single"/>
              </w:rPr>
              <w:t xml:space="preserve">   </w:t>
            </w:r>
            <w:r w:rsidR="00E84679" w:rsidRPr="00E91F6E">
              <w:rPr>
                <w:sz w:val="22"/>
                <w:szCs w:val="22"/>
                <w:u w:val="single"/>
              </w:rPr>
              <w:t>87,050</w:t>
            </w:r>
          </w:p>
        </w:tc>
      </w:tr>
      <w:tr w:rsidR="00E84679" w:rsidRPr="00E91F6E" w14:paraId="7A5BBEAC" w14:textId="77777777" w:rsidTr="001445A6">
        <w:tc>
          <w:tcPr>
            <w:tcW w:w="2202" w:type="dxa"/>
          </w:tcPr>
          <w:p w14:paraId="23FA4F03" w14:textId="77777777" w:rsidR="00E84679" w:rsidRPr="00E91F6E" w:rsidRDefault="00E84679" w:rsidP="000D3BEC">
            <w:pPr>
              <w:widowControl/>
              <w:jc w:val="both"/>
              <w:rPr>
                <w:sz w:val="22"/>
                <w:szCs w:val="22"/>
              </w:rPr>
            </w:pPr>
          </w:p>
        </w:tc>
        <w:tc>
          <w:tcPr>
            <w:tcW w:w="2226" w:type="dxa"/>
          </w:tcPr>
          <w:p w14:paraId="54B5FB48" w14:textId="77777777" w:rsidR="00E84679" w:rsidRPr="00E91F6E" w:rsidRDefault="00E84679" w:rsidP="000D3BEC">
            <w:pPr>
              <w:widowControl/>
              <w:tabs>
                <w:tab w:val="right" w:pos="1308"/>
              </w:tabs>
              <w:jc w:val="both"/>
              <w:rPr>
                <w:sz w:val="22"/>
                <w:szCs w:val="22"/>
              </w:rPr>
            </w:pPr>
          </w:p>
        </w:tc>
        <w:tc>
          <w:tcPr>
            <w:tcW w:w="2208" w:type="dxa"/>
          </w:tcPr>
          <w:p w14:paraId="6475E726" w14:textId="77777777" w:rsidR="00E84679" w:rsidRPr="00E91F6E" w:rsidRDefault="00E84679" w:rsidP="000D3BEC">
            <w:pPr>
              <w:widowControl/>
              <w:jc w:val="both"/>
              <w:rPr>
                <w:sz w:val="22"/>
                <w:szCs w:val="22"/>
              </w:rPr>
            </w:pPr>
          </w:p>
        </w:tc>
        <w:tc>
          <w:tcPr>
            <w:tcW w:w="1536" w:type="dxa"/>
          </w:tcPr>
          <w:p w14:paraId="1A318F86" w14:textId="77777777" w:rsidR="00E84679" w:rsidRPr="00E91F6E" w:rsidRDefault="00E84679" w:rsidP="000D3BEC">
            <w:pPr>
              <w:widowControl/>
              <w:jc w:val="both"/>
              <w:rPr>
                <w:sz w:val="22"/>
                <w:szCs w:val="22"/>
              </w:rPr>
            </w:pPr>
          </w:p>
        </w:tc>
      </w:tr>
      <w:tr w:rsidR="00E84679" w:rsidRPr="00E91F6E" w14:paraId="2CFC31D8" w14:textId="77777777" w:rsidTr="001445A6">
        <w:tc>
          <w:tcPr>
            <w:tcW w:w="2202" w:type="dxa"/>
          </w:tcPr>
          <w:p w14:paraId="2CAED920" w14:textId="77777777" w:rsidR="00E84679" w:rsidRPr="00E91F6E" w:rsidRDefault="00092C39" w:rsidP="000D3BEC">
            <w:pPr>
              <w:widowControl/>
              <w:jc w:val="center"/>
              <w:rPr>
                <w:sz w:val="22"/>
                <w:szCs w:val="22"/>
              </w:rPr>
            </w:pPr>
            <w:r w:rsidRPr="00E91F6E">
              <w:rPr>
                <w:sz w:val="22"/>
                <w:szCs w:val="22"/>
              </w:rPr>
              <w:t>Total</w:t>
            </w:r>
          </w:p>
        </w:tc>
        <w:tc>
          <w:tcPr>
            <w:tcW w:w="2226" w:type="dxa"/>
          </w:tcPr>
          <w:p w14:paraId="4ACC7837" w14:textId="77777777" w:rsidR="00E84679" w:rsidRPr="00E91F6E" w:rsidRDefault="00E84679" w:rsidP="000D3BEC">
            <w:pPr>
              <w:widowControl/>
              <w:tabs>
                <w:tab w:val="right" w:pos="1308"/>
              </w:tabs>
              <w:jc w:val="center"/>
              <w:rPr>
                <w:sz w:val="22"/>
                <w:szCs w:val="22"/>
                <w:u w:val="double"/>
              </w:rPr>
            </w:pPr>
            <w:r w:rsidRPr="00E91F6E">
              <w:rPr>
                <w:sz w:val="22"/>
                <w:szCs w:val="22"/>
                <w:u w:val="double"/>
              </w:rPr>
              <w:t>$244,065</w:t>
            </w:r>
          </w:p>
        </w:tc>
        <w:tc>
          <w:tcPr>
            <w:tcW w:w="2208" w:type="dxa"/>
          </w:tcPr>
          <w:p w14:paraId="212CBCC9" w14:textId="77777777" w:rsidR="00E84679" w:rsidRPr="00E91F6E" w:rsidRDefault="00E84679" w:rsidP="000D3BEC">
            <w:pPr>
              <w:widowControl/>
              <w:jc w:val="center"/>
              <w:rPr>
                <w:sz w:val="22"/>
                <w:szCs w:val="22"/>
                <w:u w:val="double"/>
              </w:rPr>
            </w:pPr>
            <w:r w:rsidRPr="00E91F6E">
              <w:rPr>
                <w:sz w:val="22"/>
                <w:szCs w:val="22"/>
                <w:u w:val="double"/>
              </w:rPr>
              <w:t>$33,356</w:t>
            </w:r>
          </w:p>
        </w:tc>
        <w:tc>
          <w:tcPr>
            <w:tcW w:w="1536" w:type="dxa"/>
          </w:tcPr>
          <w:p w14:paraId="4C532696" w14:textId="77777777" w:rsidR="00E84679" w:rsidRPr="00E91F6E" w:rsidRDefault="00E84679" w:rsidP="000D3BEC">
            <w:pPr>
              <w:widowControl/>
              <w:jc w:val="center"/>
              <w:rPr>
                <w:sz w:val="22"/>
                <w:szCs w:val="22"/>
                <w:u w:val="double"/>
              </w:rPr>
            </w:pPr>
            <w:r w:rsidRPr="00E91F6E">
              <w:rPr>
                <w:sz w:val="22"/>
                <w:szCs w:val="22"/>
                <w:u w:val="double"/>
              </w:rPr>
              <w:t>$277,421</w:t>
            </w:r>
          </w:p>
        </w:tc>
      </w:tr>
    </w:tbl>
    <w:p w14:paraId="6210EDC7" w14:textId="77777777" w:rsidR="00E84679" w:rsidRPr="00E91F6E" w:rsidRDefault="00E84679" w:rsidP="000D3BEC">
      <w:pPr>
        <w:widowControl/>
        <w:ind w:left="1440"/>
        <w:jc w:val="both"/>
        <w:rPr>
          <w:sz w:val="22"/>
          <w:szCs w:val="22"/>
        </w:rPr>
      </w:pPr>
    </w:p>
    <w:p w14:paraId="3E7EE1FB" w14:textId="4C0F1A12" w:rsidR="00B4035F" w:rsidRPr="00E91F6E" w:rsidRDefault="0017438A" w:rsidP="00B25EE0">
      <w:pPr>
        <w:widowControl/>
        <w:ind w:left="1080"/>
        <w:jc w:val="both"/>
        <w:rPr>
          <w:sz w:val="22"/>
          <w:szCs w:val="22"/>
          <w:highlight w:val="yellow"/>
        </w:rPr>
      </w:pPr>
      <w:r w:rsidRPr="00E91F6E">
        <w:rPr>
          <w:b/>
          <w:sz w:val="22"/>
          <w:szCs w:val="22"/>
          <w:highlight w:val="green"/>
        </w:rPr>
        <w:t xml:space="preserve">Revenue bonds issued by an Authority of the County are not included in this </w:t>
      </w:r>
      <w:r w:rsidR="00DD68F3" w:rsidRPr="00E91F6E">
        <w:rPr>
          <w:b/>
          <w:sz w:val="22"/>
          <w:szCs w:val="22"/>
          <w:highlight w:val="green"/>
        </w:rPr>
        <w:t>report since the Authority’s fund is not a County Fund.  However, i</w:t>
      </w:r>
      <w:r w:rsidR="001B4E69" w:rsidRPr="00E91F6E">
        <w:rPr>
          <w:b/>
          <w:sz w:val="22"/>
          <w:szCs w:val="22"/>
          <w:highlight w:val="green"/>
        </w:rPr>
        <w:t>f the County</w:t>
      </w:r>
      <w:r w:rsidR="00DD68F3" w:rsidRPr="00E91F6E">
        <w:rPr>
          <w:b/>
          <w:sz w:val="22"/>
          <w:szCs w:val="22"/>
          <w:highlight w:val="green"/>
        </w:rPr>
        <w:t xml:space="preserve"> itself</w:t>
      </w:r>
      <w:r w:rsidR="001B4E69" w:rsidRPr="00E91F6E">
        <w:rPr>
          <w:b/>
          <w:sz w:val="22"/>
          <w:szCs w:val="22"/>
          <w:highlight w:val="green"/>
        </w:rPr>
        <w:t xml:space="preserve"> has issued any G.O. bonds</w:t>
      </w:r>
      <w:r w:rsidR="00CB67A9" w:rsidRPr="00E91F6E">
        <w:rPr>
          <w:b/>
          <w:sz w:val="22"/>
          <w:szCs w:val="22"/>
          <w:highlight w:val="green"/>
        </w:rPr>
        <w:t>,</w:t>
      </w:r>
      <w:r w:rsidR="001B4E69" w:rsidRPr="00E91F6E">
        <w:rPr>
          <w:b/>
          <w:sz w:val="22"/>
          <w:szCs w:val="22"/>
          <w:highlight w:val="green"/>
        </w:rPr>
        <w:t xml:space="preserve"> the following </w:t>
      </w:r>
      <w:r w:rsidR="00CB67A9" w:rsidRPr="00E91F6E">
        <w:rPr>
          <w:b/>
          <w:sz w:val="22"/>
          <w:szCs w:val="22"/>
          <w:highlight w:val="green"/>
        </w:rPr>
        <w:t>disclosure would include the original amount of the issuance, and the future principal and interest payments per all future fiscal years.  If future payments extend beyond five years, payments beginning in the sixth year may be combined in a single line item, as shown below.  A separate disclosure should be made for each issuance of G.O. bonds.    If the County did not have any G.O. bonds outstand</w:t>
      </w:r>
      <w:r w:rsidR="009F1611" w:rsidRPr="00E91F6E">
        <w:rPr>
          <w:b/>
          <w:sz w:val="22"/>
          <w:szCs w:val="22"/>
          <w:highlight w:val="green"/>
        </w:rPr>
        <w:t>ing in the fiscal year reported</w:t>
      </w:r>
      <w:r w:rsidR="00CB67A9" w:rsidRPr="00E91F6E">
        <w:rPr>
          <w:b/>
          <w:sz w:val="22"/>
          <w:szCs w:val="22"/>
          <w:highlight w:val="green"/>
        </w:rPr>
        <w:t xml:space="preserve"> this disclosure should be removed.</w:t>
      </w:r>
    </w:p>
    <w:p w14:paraId="24B0293C" w14:textId="77777777" w:rsidR="00E84679" w:rsidRPr="00E91F6E" w:rsidRDefault="00E84679" w:rsidP="000D3BEC">
      <w:pPr>
        <w:pStyle w:val="ListParagraph"/>
        <w:numPr>
          <w:ilvl w:val="0"/>
          <w:numId w:val="13"/>
        </w:numPr>
        <w:jc w:val="both"/>
        <w:rPr>
          <w:b/>
          <w:sz w:val="22"/>
          <w:u w:val="single"/>
        </w:rPr>
      </w:pPr>
      <w:r w:rsidRPr="00E91F6E">
        <w:rPr>
          <w:b/>
          <w:sz w:val="22"/>
          <w:u w:val="single"/>
        </w:rPr>
        <w:t>General Obligation Bonds</w:t>
      </w:r>
    </w:p>
    <w:p w14:paraId="152AAE7A" w14:textId="77777777" w:rsidR="00E84679" w:rsidRPr="00E91F6E" w:rsidRDefault="00E84679" w:rsidP="000D3BEC">
      <w:pPr>
        <w:widowControl/>
        <w:jc w:val="both"/>
        <w:rPr>
          <w:sz w:val="22"/>
          <w:u w:val="single"/>
        </w:rPr>
      </w:pPr>
    </w:p>
    <w:p w14:paraId="21744355" w14:textId="77777777" w:rsidR="00E84679" w:rsidRPr="00E91F6E" w:rsidRDefault="00E84679" w:rsidP="000D3BEC">
      <w:pPr>
        <w:pStyle w:val="BodyTextIndent3"/>
        <w:ind w:left="1440"/>
        <w:rPr>
          <w:szCs w:val="20"/>
        </w:rPr>
      </w:pPr>
      <w:r w:rsidRPr="00E91F6E">
        <w:rPr>
          <w:szCs w:val="20"/>
        </w:rPr>
        <w:t>The government issues general obligation bonds to provide funds for the acquisition and construction of major capital facilities.  Debt service on the bonds will be paid from ad valorem taxes levied and assessed on behalf of the issuer and deposited to the Sinking Fund.</w:t>
      </w:r>
    </w:p>
    <w:p w14:paraId="0447D286" w14:textId="77777777" w:rsidR="00E84679" w:rsidRPr="00E91F6E" w:rsidRDefault="00E84679" w:rsidP="000D3BEC">
      <w:pPr>
        <w:widowControl/>
        <w:ind w:left="1440"/>
        <w:jc w:val="both"/>
        <w:rPr>
          <w:sz w:val="22"/>
        </w:rPr>
      </w:pPr>
    </w:p>
    <w:p w14:paraId="633EE408" w14:textId="5905F4A7" w:rsidR="00E84679" w:rsidRPr="00E91F6E" w:rsidRDefault="00CE3436" w:rsidP="000D3BEC">
      <w:pPr>
        <w:widowControl/>
        <w:ind w:left="1440"/>
        <w:jc w:val="both"/>
        <w:rPr>
          <w:sz w:val="22"/>
        </w:rPr>
      </w:pPr>
      <w:r w:rsidRPr="00E91F6E">
        <w:rPr>
          <w:sz w:val="22"/>
          <w:highlight w:val="yellow"/>
          <w:u w:val="single"/>
        </w:rPr>
        <w:t>Blank</w:t>
      </w:r>
      <w:r w:rsidR="00E84679" w:rsidRPr="00E91F6E">
        <w:rPr>
          <w:sz w:val="22"/>
          <w:u w:val="single"/>
        </w:rPr>
        <w:t xml:space="preserve"> County, Oklahoma-County Jail Bond of 20</w:t>
      </w:r>
      <w:r w:rsidRPr="00E91F6E">
        <w:rPr>
          <w:sz w:val="22"/>
          <w:u w:val="single"/>
        </w:rPr>
        <w:t>1</w:t>
      </w:r>
      <w:r w:rsidR="001D1F1C" w:rsidRPr="00E91F6E">
        <w:rPr>
          <w:sz w:val="22"/>
          <w:u w:val="single"/>
        </w:rPr>
        <w:t>5</w:t>
      </w:r>
      <w:r w:rsidR="00E84679" w:rsidRPr="00E91F6E">
        <w:rPr>
          <w:sz w:val="22"/>
        </w:rPr>
        <w:t xml:space="preserve"> – Bonds in the amount of $1,</w:t>
      </w:r>
      <w:r w:rsidR="00144BD0" w:rsidRPr="00E91F6E">
        <w:rPr>
          <w:sz w:val="22"/>
        </w:rPr>
        <w:t>8</w:t>
      </w:r>
      <w:r w:rsidR="00E84679" w:rsidRPr="00E91F6E">
        <w:rPr>
          <w:sz w:val="22"/>
        </w:rPr>
        <w:t>50,000 were issued November 1, 20</w:t>
      </w:r>
      <w:r w:rsidR="001D1F1C" w:rsidRPr="00E91F6E">
        <w:rPr>
          <w:sz w:val="22"/>
        </w:rPr>
        <w:t>15</w:t>
      </w:r>
      <w:r w:rsidR="00E84679" w:rsidRPr="00E91F6E">
        <w:rPr>
          <w:sz w:val="22"/>
        </w:rPr>
        <w:t>, for the purpose of erecting, equipping, and furnishing a new county jail.</w:t>
      </w:r>
      <w:r w:rsidRPr="00E91F6E">
        <w:rPr>
          <w:sz w:val="22"/>
        </w:rPr>
        <w:t xml:space="preserve">  </w:t>
      </w:r>
      <w:r w:rsidR="00E84679" w:rsidRPr="00E91F6E">
        <w:rPr>
          <w:sz w:val="22"/>
        </w:rPr>
        <w:t>General obligation bonds are direct obligations and pledge the full faith and credit of the government. These bonds are required to be fully paid within 25 years from the date of issue. General obligation bonds currently outstanding are as follows:</w:t>
      </w:r>
    </w:p>
    <w:p w14:paraId="7EBEE696" w14:textId="77777777" w:rsidR="00E84679" w:rsidRPr="00E91F6E" w:rsidRDefault="00E84679" w:rsidP="000D3BEC">
      <w:pPr>
        <w:widowControl/>
        <w:ind w:left="1440"/>
        <w:jc w:val="both"/>
        <w:rPr>
          <w:sz w:val="22"/>
        </w:rPr>
      </w:pPr>
    </w:p>
    <w:tbl>
      <w:tblPr>
        <w:tblW w:w="7488" w:type="dxa"/>
        <w:tblInd w:w="1904" w:type="dxa"/>
        <w:tblLook w:val="0000" w:firstRow="0" w:lastRow="0" w:firstColumn="0" w:lastColumn="0" w:noHBand="0" w:noVBand="0"/>
      </w:tblPr>
      <w:tblGrid>
        <w:gridCol w:w="3600"/>
        <w:gridCol w:w="450"/>
        <w:gridCol w:w="1530"/>
        <w:gridCol w:w="360"/>
        <w:gridCol w:w="1548"/>
      </w:tblGrid>
      <w:tr w:rsidR="00E84679" w:rsidRPr="00E91F6E" w14:paraId="02DB1573" w14:textId="77777777" w:rsidTr="00E84679">
        <w:tc>
          <w:tcPr>
            <w:tcW w:w="3600" w:type="dxa"/>
            <w:tcBorders>
              <w:bottom w:val="single" w:sz="4" w:space="0" w:color="auto"/>
            </w:tcBorders>
            <w:vAlign w:val="center"/>
          </w:tcPr>
          <w:p w14:paraId="7CA106F8" w14:textId="77777777" w:rsidR="00E84679" w:rsidRPr="00E91F6E" w:rsidRDefault="00E84679" w:rsidP="000D3BEC">
            <w:pPr>
              <w:widowControl/>
              <w:jc w:val="center"/>
              <w:rPr>
                <w:sz w:val="22"/>
              </w:rPr>
            </w:pPr>
            <w:r w:rsidRPr="00E91F6E">
              <w:rPr>
                <w:sz w:val="22"/>
              </w:rPr>
              <w:t>Purpose</w:t>
            </w:r>
          </w:p>
        </w:tc>
        <w:tc>
          <w:tcPr>
            <w:tcW w:w="450" w:type="dxa"/>
            <w:vAlign w:val="center"/>
          </w:tcPr>
          <w:p w14:paraId="4895494F" w14:textId="77777777" w:rsidR="00E84679" w:rsidRPr="00E91F6E" w:rsidRDefault="00E84679" w:rsidP="000D3BEC">
            <w:pPr>
              <w:widowControl/>
              <w:jc w:val="center"/>
              <w:rPr>
                <w:sz w:val="22"/>
              </w:rPr>
            </w:pPr>
          </w:p>
        </w:tc>
        <w:tc>
          <w:tcPr>
            <w:tcW w:w="1530" w:type="dxa"/>
            <w:tcBorders>
              <w:bottom w:val="single" w:sz="4" w:space="0" w:color="auto"/>
            </w:tcBorders>
            <w:vAlign w:val="center"/>
          </w:tcPr>
          <w:p w14:paraId="222A4739" w14:textId="77777777" w:rsidR="00E84679" w:rsidRPr="00E91F6E" w:rsidRDefault="00E84679" w:rsidP="000D3BEC">
            <w:pPr>
              <w:widowControl/>
              <w:jc w:val="center"/>
              <w:rPr>
                <w:sz w:val="22"/>
              </w:rPr>
            </w:pPr>
            <w:r w:rsidRPr="00E91F6E">
              <w:rPr>
                <w:sz w:val="22"/>
              </w:rPr>
              <w:t>Interest Rate</w:t>
            </w:r>
          </w:p>
        </w:tc>
        <w:tc>
          <w:tcPr>
            <w:tcW w:w="360" w:type="dxa"/>
            <w:vAlign w:val="center"/>
          </w:tcPr>
          <w:p w14:paraId="4AFB2249" w14:textId="77777777" w:rsidR="00E84679" w:rsidRPr="00E91F6E" w:rsidRDefault="00E84679" w:rsidP="000D3BEC">
            <w:pPr>
              <w:widowControl/>
              <w:jc w:val="center"/>
              <w:rPr>
                <w:sz w:val="22"/>
              </w:rPr>
            </w:pPr>
          </w:p>
        </w:tc>
        <w:tc>
          <w:tcPr>
            <w:tcW w:w="1548" w:type="dxa"/>
            <w:tcBorders>
              <w:bottom w:val="single" w:sz="4" w:space="0" w:color="auto"/>
            </w:tcBorders>
            <w:vAlign w:val="center"/>
          </w:tcPr>
          <w:p w14:paraId="1F5F166D" w14:textId="77777777" w:rsidR="00E84679" w:rsidRPr="00E91F6E" w:rsidRDefault="00E84679" w:rsidP="000D3BEC">
            <w:pPr>
              <w:widowControl/>
              <w:jc w:val="center"/>
              <w:rPr>
                <w:sz w:val="22"/>
              </w:rPr>
            </w:pPr>
            <w:r w:rsidRPr="00E91F6E">
              <w:rPr>
                <w:sz w:val="22"/>
              </w:rPr>
              <w:t>Original</w:t>
            </w:r>
          </w:p>
          <w:p w14:paraId="1DEC0727" w14:textId="77777777" w:rsidR="00E84679" w:rsidRPr="00E91F6E" w:rsidRDefault="00E84679" w:rsidP="000D3BEC">
            <w:pPr>
              <w:widowControl/>
              <w:jc w:val="center"/>
              <w:rPr>
                <w:sz w:val="22"/>
              </w:rPr>
            </w:pPr>
            <w:r w:rsidRPr="00E91F6E">
              <w:rPr>
                <w:sz w:val="22"/>
              </w:rPr>
              <w:t>Amount</w:t>
            </w:r>
          </w:p>
        </w:tc>
      </w:tr>
      <w:tr w:rsidR="00E84679" w:rsidRPr="00E91F6E" w14:paraId="788F7A22" w14:textId="77777777" w:rsidTr="00E84679">
        <w:tc>
          <w:tcPr>
            <w:tcW w:w="3600" w:type="dxa"/>
            <w:tcBorders>
              <w:top w:val="single" w:sz="4" w:space="0" w:color="auto"/>
            </w:tcBorders>
            <w:vAlign w:val="center"/>
          </w:tcPr>
          <w:p w14:paraId="29D28BAF" w14:textId="3AED5D63" w:rsidR="00E84679" w:rsidRPr="00E91F6E" w:rsidRDefault="00CE3436" w:rsidP="000D3BEC">
            <w:pPr>
              <w:widowControl/>
              <w:jc w:val="center"/>
              <w:rPr>
                <w:sz w:val="22"/>
              </w:rPr>
            </w:pPr>
            <w:r w:rsidRPr="00E91F6E">
              <w:rPr>
                <w:sz w:val="22"/>
                <w:highlight w:val="yellow"/>
              </w:rPr>
              <w:t>Blank</w:t>
            </w:r>
            <w:r w:rsidR="00E84679" w:rsidRPr="00E91F6E">
              <w:rPr>
                <w:sz w:val="22"/>
              </w:rPr>
              <w:t xml:space="preserve"> </w:t>
            </w:r>
            <w:r w:rsidRPr="00E91F6E">
              <w:rPr>
                <w:sz w:val="22"/>
              </w:rPr>
              <w:t>County, Oklahoma-</w:t>
            </w:r>
            <w:r w:rsidR="00E84679" w:rsidRPr="00E91F6E">
              <w:rPr>
                <w:sz w:val="22"/>
              </w:rPr>
              <w:t>County Jail Bond of 20</w:t>
            </w:r>
            <w:r w:rsidRPr="00E91F6E">
              <w:rPr>
                <w:sz w:val="22"/>
              </w:rPr>
              <w:t>1</w:t>
            </w:r>
            <w:r w:rsidR="001D1F1C" w:rsidRPr="00E91F6E">
              <w:rPr>
                <w:sz w:val="22"/>
              </w:rPr>
              <w:t>5</w:t>
            </w:r>
          </w:p>
        </w:tc>
        <w:tc>
          <w:tcPr>
            <w:tcW w:w="450" w:type="dxa"/>
            <w:vAlign w:val="center"/>
          </w:tcPr>
          <w:p w14:paraId="0D45872E" w14:textId="77777777" w:rsidR="00E84679" w:rsidRPr="00E91F6E" w:rsidRDefault="00E84679" w:rsidP="000D3BEC">
            <w:pPr>
              <w:widowControl/>
              <w:jc w:val="center"/>
              <w:rPr>
                <w:sz w:val="22"/>
              </w:rPr>
            </w:pPr>
          </w:p>
        </w:tc>
        <w:tc>
          <w:tcPr>
            <w:tcW w:w="1530" w:type="dxa"/>
            <w:tcBorders>
              <w:top w:val="single" w:sz="4" w:space="0" w:color="auto"/>
            </w:tcBorders>
            <w:vAlign w:val="center"/>
          </w:tcPr>
          <w:p w14:paraId="3F5FA895" w14:textId="77777777" w:rsidR="00E84679" w:rsidRPr="00E91F6E" w:rsidRDefault="00E84679" w:rsidP="000D3BEC">
            <w:pPr>
              <w:pStyle w:val="xl24"/>
              <w:autoSpaceDE w:val="0"/>
              <w:autoSpaceDN w:val="0"/>
              <w:adjustRightInd w:val="0"/>
              <w:spacing w:before="0" w:beforeAutospacing="0" w:after="0" w:afterAutospacing="0"/>
              <w:rPr>
                <w:rFonts w:eastAsia="Times New Roman"/>
                <w:szCs w:val="20"/>
              </w:rPr>
            </w:pPr>
            <w:r w:rsidRPr="00E91F6E">
              <w:rPr>
                <w:rFonts w:eastAsia="Times New Roman"/>
                <w:szCs w:val="20"/>
              </w:rPr>
              <w:t>3.899587%</w:t>
            </w:r>
          </w:p>
        </w:tc>
        <w:tc>
          <w:tcPr>
            <w:tcW w:w="360" w:type="dxa"/>
            <w:vAlign w:val="center"/>
          </w:tcPr>
          <w:p w14:paraId="53D330CC" w14:textId="77777777" w:rsidR="00E84679" w:rsidRPr="00E91F6E" w:rsidRDefault="00E84679" w:rsidP="000D3BEC">
            <w:pPr>
              <w:widowControl/>
              <w:jc w:val="center"/>
              <w:rPr>
                <w:sz w:val="22"/>
              </w:rPr>
            </w:pPr>
          </w:p>
        </w:tc>
        <w:tc>
          <w:tcPr>
            <w:tcW w:w="1548" w:type="dxa"/>
            <w:tcBorders>
              <w:top w:val="single" w:sz="4" w:space="0" w:color="auto"/>
            </w:tcBorders>
            <w:vAlign w:val="center"/>
          </w:tcPr>
          <w:p w14:paraId="6803E5B0" w14:textId="45D6EF8D" w:rsidR="00E84679" w:rsidRPr="00E91F6E" w:rsidRDefault="00144BD0" w:rsidP="000D3BEC">
            <w:pPr>
              <w:widowControl/>
              <w:jc w:val="center"/>
              <w:rPr>
                <w:sz w:val="22"/>
              </w:rPr>
            </w:pPr>
            <w:r w:rsidRPr="00E91F6E">
              <w:rPr>
                <w:sz w:val="22"/>
              </w:rPr>
              <w:t>$1,8</w:t>
            </w:r>
            <w:r w:rsidR="00E84679" w:rsidRPr="00E91F6E">
              <w:rPr>
                <w:sz w:val="22"/>
              </w:rPr>
              <w:t>50,000</w:t>
            </w:r>
          </w:p>
        </w:tc>
      </w:tr>
    </w:tbl>
    <w:p w14:paraId="3C2019C8" w14:textId="77777777" w:rsidR="00C65492" w:rsidRPr="00E91F6E" w:rsidRDefault="00C65492" w:rsidP="000D3BEC">
      <w:pPr>
        <w:widowControl/>
        <w:ind w:left="1440"/>
        <w:jc w:val="both"/>
        <w:rPr>
          <w:sz w:val="22"/>
        </w:rPr>
      </w:pPr>
    </w:p>
    <w:tbl>
      <w:tblPr>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1759"/>
        <w:gridCol w:w="1782"/>
        <w:gridCol w:w="1782"/>
        <w:gridCol w:w="1752"/>
      </w:tblGrid>
      <w:tr w:rsidR="00E84679" w:rsidRPr="00E91F6E" w14:paraId="241CC1A1" w14:textId="77777777" w:rsidTr="006C46A2">
        <w:trPr>
          <w:jc w:val="center"/>
        </w:trPr>
        <w:tc>
          <w:tcPr>
            <w:tcW w:w="1781" w:type="dxa"/>
          </w:tcPr>
          <w:p w14:paraId="3689E2ED" w14:textId="77777777" w:rsidR="00E84679" w:rsidRPr="00E91F6E" w:rsidRDefault="00E84679" w:rsidP="000D3BEC">
            <w:pPr>
              <w:widowControl/>
              <w:jc w:val="center"/>
              <w:rPr>
                <w:sz w:val="22"/>
              </w:rPr>
            </w:pPr>
            <w:r w:rsidRPr="00E91F6E">
              <w:rPr>
                <w:sz w:val="22"/>
              </w:rPr>
              <w:t>Beginning Balance</w:t>
            </w:r>
          </w:p>
        </w:tc>
        <w:tc>
          <w:tcPr>
            <w:tcW w:w="1759" w:type="dxa"/>
          </w:tcPr>
          <w:p w14:paraId="62D36CB2" w14:textId="77777777" w:rsidR="00E84679" w:rsidRPr="00E91F6E" w:rsidRDefault="00E84679" w:rsidP="000D3BEC">
            <w:pPr>
              <w:widowControl/>
              <w:ind w:left="109" w:hanging="109"/>
              <w:jc w:val="center"/>
              <w:rPr>
                <w:sz w:val="22"/>
              </w:rPr>
            </w:pPr>
          </w:p>
          <w:p w14:paraId="63FDD742" w14:textId="77777777" w:rsidR="00E84679" w:rsidRPr="00E91F6E" w:rsidRDefault="00E84679" w:rsidP="000D3BEC">
            <w:pPr>
              <w:widowControl/>
              <w:ind w:left="109" w:hanging="109"/>
              <w:jc w:val="center"/>
              <w:rPr>
                <w:sz w:val="22"/>
              </w:rPr>
            </w:pPr>
            <w:r w:rsidRPr="00E91F6E">
              <w:rPr>
                <w:sz w:val="22"/>
              </w:rPr>
              <w:t>Additions</w:t>
            </w:r>
          </w:p>
        </w:tc>
        <w:tc>
          <w:tcPr>
            <w:tcW w:w="1782" w:type="dxa"/>
          </w:tcPr>
          <w:p w14:paraId="1C37DCB7" w14:textId="77777777" w:rsidR="00E84679" w:rsidRPr="00E91F6E" w:rsidRDefault="00E84679" w:rsidP="000D3BEC">
            <w:pPr>
              <w:widowControl/>
              <w:jc w:val="center"/>
              <w:rPr>
                <w:sz w:val="22"/>
              </w:rPr>
            </w:pPr>
          </w:p>
          <w:p w14:paraId="261B14E0" w14:textId="77777777" w:rsidR="00E84679" w:rsidRPr="00E91F6E" w:rsidRDefault="00E84679" w:rsidP="000D3BEC">
            <w:pPr>
              <w:widowControl/>
              <w:jc w:val="center"/>
              <w:rPr>
                <w:sz w:val="22"/>
              </w:rPr>
            </w:pPr>
            <w:r w:rsidRPr="00E91F6E">
              <w:rPr>
                <w:sz w:val="22"/>
              </w:rPr>
              <w:t>Reductions</w:t>
            </w:r>
          </w:p>
        </w:tc>
        <w:tc>
          <w:tcPr>
            <w:tcW w:w="1782" w:type="dxa"/>
          </w:tcPr>
          <w:p w14:paraId="77FC9848" w14:textId="77777777" w:rsidR="00E84679" w:rsidRPr="00E91F6E" w:rsidRDefault="00E84679" w:rsidP="000D3BEC">
            <w:pPr>
              <w:widowControl/>
              <w:jc w:val="center"/>
              <w:rPr>
                <w:sz w:val="22"/>
              </w:rPr>
            </w:pPr>
            <w:r w:rsidRPr="00E91F6E">
              <w:rPr>
                <w:sz w:val="22"/>
              </w:rPr>
              <w:t>Ending</w:t>
            </w:r>
          </w:p>
          <w:p w14:paraId="306B0A3A" w14:textId="77777777" w:rsidR="00E84679" w:rsidRPr="00E91F6E" w:rsidRDefault="00E84679" w:rsidP="000D3BEC">
            <w:pPr>
              <w:widowControl/>
              <w:jc w:val="center"/>
              <w:rPr>
                <w:sz w:val="22"/>
              </w:rPr>
            </w:pPr>
            <w:r w:rsidRPr="00E91F6E">
              <w:rPr>
                <w:sz w:val="22"/>
              </w:rPr>
              <w:t>Balance</w:t>
            </w:r>
          </w:p>
        </w:tc>
        <w:tc>
          <w:tcPr>
            <w:tcW w:w="1752" w:type="dxa"/>
          </w:tcPr>
          <w:p w14:paraId="15742784" w14:textId="77777777" w:rsidR="00E84679" w:rsidRPr="00E91F6E" w:rsidRDefault="00E84679" w:rsidP="000D3BEC">
            <w:pPr>
              <w:widowControl/>
              <w:jc w:val="center"/>
              <w:rPr>
                <w:sz w:val="22"/>
              </w:rPr>
            </w:pPr>
            <w:r w:rsidRPr="00E91F6E">
              <w:rPr>
                <w:sz w:val="22"/>
              </w:rPr>
              <w:t>Amount due within one year</w:t>
            </w:r>
          </w:p>
        </w:tc>
      </w:tr>
      <w:tr w:rsidR="00E84679" w:rsidRPr="00E91F6E" w14:paraId="3935ED5C" w14:textId="77777777" w:rsidTr="006C46A2">
        <w:trPr>
          <w:jc w:val="center"/>
        </w:trPr>
        <w:tc>
          <w:tcPr>
            <w:tcW w:w="1781" w:type="dxa"/>
          </w:tcPr>
          <w:p w14:paraId="486CCD4C" w14:textId="002CDCFB" w:rsidR="00E84679" w:rsidRPr="00E91F6E" w:rsidRDefault="00144BD0" w:rsidP="000D3BEC">
            <w:pPr>
              <w:widowControl/>
              <w:jc w:val="center"/>
              <w:rPr>
                <w:sz w:val="22"/>
              </w:rPr>
            </w:pPr>
            <w:r w:rsidRPr="00E91F6E">
              <w:rPr>
                <w:sz w:val="22"/>
              </w:rPr>
              <w:t>$1,4</w:t>
            </w:r>
            <w:r w:rsidR="00E84679" w:rsidRPr="00E91F6E">
              <w:rPr>
                <w:sz w:val="22"/>
              </w:rPr>
              <w:t>50,000</w:t>
            </w:r>
          </w:p>
        </w:tc>
        <w:tc>
          <w:tcPr>
            <w:tcW w:w="1759" w:type="dxa"/>
          </w:tcPr>
          <w:p w14:paraId="110CB8A0" w14:textId="77777777" w:rsidR="00E84679" w:rsidRPr="00E91F6E" w:rsidRDefault="00E84679" w:rsidP="000D3BEC">
            <w:pPr>
              <w:widowControl/>
              <w:jc w:val="center"/>
              <w:rPr>
                <w:sz w:val="22"/>
              </w:rPr>
            </w:pPr>
            <w:r w:rsidRPr="00E91F6E">
              <w:rPr>
                <w:sz w:val="22"/>
              </w:rPr>
              <w:t>$ - 0-</w:t>
            </w:r>
          </w:p>
        </w:tc>
        <w:tc>
          <w:tcPr>
            <w:tcW w:w="1782" w:type="dxa"/>
          </w:tcPr>
          <w:p w14:paraId="301387B3" w14:textId="77777777" w:rsidR="00E84679" w:rsidRPr="00E91F6E" w:rsidRDefault="00E84679" w:rsidP="000D3BEC">
            <w:pPr>
              <w:widowControl/>
              <w:jc w:val="center"/>
              <w:rPr>
                <w:sz w:val="22"/>
              </w:rPr>
            </w:pPr>
            <w:r w:rsidRPr="00E91F6E">
              <w:rPr>
                <w:sz w:val="22"/>
              </w:rPr>
              <w:t>$200,000</w:t>
            </w:r>
          </w:p>
        </w:tc>
        <w:tc>
          <w:tcPr>
            <w:tcW w:w="1782" w:type="dxa"/>
          </w:tcPr>
          <w:p w14:paraId="7849B2FE" w14:textId="06D36BB2" w:rsidR="00E84679" w:rsidRPr="00E91F6E" w:rsidRDefault="00144BD0" w:rsidP="000D3BEC">
            <w:pPr>
              <w:widowControl/>
              <w:jc w:val="center"/>
              <w:rPr>
                <w:sz w:val="22"/>
              </w:rPr>
            </w:pPr>
            <w:r w:rsidRPr="00E91F6E">
              <w:rPr>
                <w:sz w:val="22"/>
              </w:rPr>
              <w:t>$1,2</w:t>
            </w:r>
            <w:r w:rsidR="00E84679" w:rsidRPr="00E91F6E">
              <w:rPr>
                <w:sz w:val="22"/>
              </w:rPr>
              <w:t>50,000</w:t>
            </w:r>
          </w:p>
        </w:tc>
        <w:tc>
          <w:tcPr>
            <w:tcW w:w="1752" w:type="dxa"/>
          </w:tcPr>
          <w:p w14:paraId="3E64B9BA" w14:textId="77777777" w:rsidR="00E84679" w:rsidRPr="00E91F6E" w:rsidRDefault="00E84679" w:rsidP="000D3BEC">
            <w:pPr>
              <w:widowControl/>
              <w:jc w:val="center"/>
              <w:rPr>
                <w:sz w:val="22"/>
              </w:rPr>
            </w:pPr>
            <w:r w:rsidRPr="00E91F6E">
              <w:rPr>
                <w:sz w:val="22"/>
              </w:rPr>
              <w:t>$200,000</w:t>
            </w:r>
          </w:p>
        </w:tc>
      </w:tr>
    </w:tbl>
    <w:p w14:paraId="64DFC5A0" w14:textId="77777777" w:rsidR="00E84679" w:rsidRPr="00E91F6E" w:rsidRDefault="00E84679" w:rsidP="000D3BEC">
      <w:pPr>
        <w:widowControl/>
        <w:ind w:left="1440"/>
        <w:jc w:val="both"/>
        <w:rPr>
          <w:sz w:val="22"/>
        </w:rPr>
      </w:pPr>
    </w:p>
    <w:p w14:paraId="77AD77D8" w14:textId="63050558" w:rsidR="00E84679" w:rsidRPr="00E91F6E" w:rsidRDefault="001D1F1C" w:rsidP="000D3BEC">
      <w:pPr>
        <w:widowControl/>
        <w:ind w:left="1440"/>
        <w:jc w:val="both"/>
        <w:rPr>
          <w:sz w:val="22"/>
        </w:rPr>
      </w:pPr>
      <w:r w:rsidRPr="00E91F6E">
        <w:rPr>
          <w:sz w:val="22"/>
        </w:rPr>
        <w:lastRenderedPageBreak/>
        <w:t>During fiscal year 20</w:t>
      </w:r>
      <w:r w:rsidR="00144BD0" w:rsidRPr="00E91F6E">
        <w:rPr>
          <w:sz w:val="22"/>
        </w:rPr>
        <w:t>18</w:t>
      </w:r>
      <w:r w:rsidR="00E84679" w:rsidRPr="00E91F6E">
        <w:rPr>
          <w:sz w:val="22"/>
        </w:rPr>
        <w:t>, payments included $200,000 for principal, $44,275 interest, and $450 for fees.</w:t>
      </w:r>
    </w:p>
    <w:p w14:paraId="54DB88D0" w14:textId="77777777" w:rsidR="00E84679" w:rsidRPr="00E91F6E" w:rsidRDefault="00E84679" w:rsidP="000D3BEC">
      <w:pPr>
        <w:widowControl/>
        <w:ind w:left="1440"/>
        <w:jc w:val="both"/>
        <w:rPr>
          <w:sz w:val="22"/>
        </w:rPr>
      </w:pPr>
    </w:p>
    <w:p w14:paraId="051C6A69" w14:textId="77777777" w:rsidR="00E84679" w:rsidRPr="00E91F6E" w:rsidRDefault="00E84679" w:rsidP="000D3BEC">
      <w:pPr>
        <w:widowControl/>
        <w:ind w:left="1440"/>
        <w:jc w:val="both"/>
        <w:rPr>
          <w:sz w:val="22"/>
          <w:u w:val="single"/>
        </w:rPr>
      </w:pPr>
      <w:r w:rsidRPr="00E91F6E">
        <w:rPr>
          <w:sz w:val="22"/>
        </w:rPr>
        <w:t>Annual debt service requirements to maturity for general obligation bonds, including interest of $106,438, are as follows:</w:t>
      </w:r>
    </w:p>
    <w:p w14:paraId="2E2ADF44" w14:textId="77777777" w:rsidR="00E84679" w:rsidRPr="00E91F6E" w:rsidRDefault="00E84679" w:rsidP="000D3BEC">
      <w:pPr>
        <w:widowControl/>
        <w:ind w:left="1440"/>
        <w:jc w:val="both"/>
        <w:rPr>
          <w:sz w:val="22"/>
          <w:u w:val="single"/>
        </w:rPr>
      </w:pPr>
    </w:p>
    <w:tbl>
      <w:tblPr>
        <w:tblW w:w="0" w:type="auto"/>
        <w:jc w:val="center"/>
        <w:tblLook w:val="0000" w:firstRow="0" w:lastRow="0" w:firstColumn="0" w:lastColumn="0" w:noHBand="0" w:noVBand="0"/>
      </w:tblPr>
      <w:tblGrid>
        <w:gridCol w:w="2160"/>
        <w:gridCol w:w="450"/>
        <w:gridCol w:w="1350"/>
        <w:gridCol w:w="360"/>
        <w:gridCol w:w="1170"/>
        <w:gridCol w:w="373"/>
        <w:gridCol w:w="1265"/>
      </w:tblGrid>
      <w:tr w:rsidR="00E84679" w:rsidRPr="00E91F6E" w14:paraId="2349F4F5" w14:textId="77777777" w:rsidTr="00E84679">
        <w:trPr>
          <w:jc w:val="center"/>
        </w:trPr>
        <w:tc>
          <w:tcPr>
            <w:tcW w:w="2160" w:type="dxa"/>
            <w:tcBorders>
              <w:bottom w:val="single" w:sz="4" w:space="0" w:color="auto"/>
            </w:tcBorders>
            <w:vAlign w:val="center"/>
          </w:tcPr>
          <w:p w14:paraId="3DC3F21E" w14:textId="77777777" w:rsidR="00E84679" w:rsidRPr="00E91F6E" w:rsidRDefault="00E84679" w:rsidP="000D3BEC">
            <w:pPr>
              <w:widowControl/>
              <w:jc w:val="center"/>
              <w:rPr>
                <w:sz w:val="22"/>
              </w:rPr>
            </w:pPr>
            <w:r w:rsidRPr="00E91F6E">
              <w:rPr>
                <w:sz w:val="22"/>
              </w:rPr>
              <w:t>Fiscal Year Ending June 30,</w:t>
            </w:r>
          </w:p>
        </w:tc>
        <w:tc>
          <w:tcPr>
            <w:tcW w:w="450" w:type="dxa"/>
            <w:vAlign w:val="center"/>
          </w:tcPr>
          <w:p w14:paraId="212C4E81" w14:textId="77777777" w:rsidR="00E84679" w:rsidRPr="00E91F6E" w:rsidRDefault="00E84679" w:rsidP="000D3BEC">
            <w:pPr>
              <w:widowControl/>
              <w:jc w:val="center"/>
              <w:rPr>
                <w:sz w:val="22"/>
              </w:rPr>
            </w:pPr>
          </w:p>
        </w:tc>
        <w:tc>
          <w:tcPr>
            <w:tcW w:w="1350" w:type="dxa"/>
            <w:tcBorders>
              <w:bottom w:val="single" w:sz="4" w:space="0" w:color="auto"/>
            </w:tcBorders>
            <w:vAlign w:val="center"/>
          </w:tcPr>
          <w:p w14:paraId="3BCC6A07" w14:textId="77777777" w:rsidR="00E84679" w:rsidRPr="00E91F6E" w:rsidRDefault="00E84679" w:rsidP="000D3BEC">
            <w:pPr>
              <w:widowControl/>
              <w:jc w:val="center"/>
              <w:rPr>
                <w:sz w:val="22"/>
              </w:rPr>
            </w:pPr>
            <w:r w:rsidRPr="00E91F6E">
              <w:rPr>
                <w:sz w:val="22"/>
              </w:rPr>
              <w:t>Principal</w:t>
            </w:r>
          </w:p>
        </w:tc>
        <w:tc>
          <w:tcPr>
            <w:tcW w:w="360" w:type="dxa"/>
            <w:vAlign w:val="center"/>
          </w:tcPr>
          <w:p w14:paraId="2C0C6D1B" w14:textId="77777777" w:rsidR="00E84679" w:rsidRPr="00E91F6E" w:rsidRDefault="00E84679" w:rsidP="000D3BEC">
            <w:pPr>
              <w:widowControl/>
              <w:jc w:val="center"/>
              <w:rPr>
                <w:sz w:val="22"/>
              </w:rPr>
            </w:pPr>
          </w:p>
        </w:tc>
        <w:tc>
          <w:tcPr>
            <w:tcW w:w="1170" w:type="dxa"/>
            <w:tcBorders>
              <w:bottom w:val="single" w:sz="4" w:space="0" w:color="auto"/>
            </w:tcBorders>
            <w:vAlign w:val="center"/>
          </w:tcPr>
          <w:p w14:paraId="73C2611F" w14:textId="77777777" w:rsidR="00E84679" w:rsidRPr="00E91F6E" w:rsidRDefault="00E84679" w:rsidP="000D3BEC">
            <w:pPr>
              <w:widowControl/>
              <w:jc w:val="center"/>
              <w:rPr>
                <w:sz w:val="22"/>
              </w:rPr>
            </w:pPr>
            <w:r w:rsidRPr="00E91F6E">
              <w:rPr>
                <w:sz w:val="22"/>
              </w:rPr>
              <w:t>Interest</w:t>
            </w:r>
          </w:p>
        </w:tc>
        <w:tc>
          <w:tcPr>
            <w:tcW w:w="373" w:type="dxa"/>
            <w:vAlign w:val="center"/>
          </w:tcPr>
          <w:p w14:paraId="0314EAEF" w14:textId="77777777" w:rsidR="00E84679" w:rsidRPr="00E91F6E" w:rsidRDefault="00E84679" w:rsidP="000D3BEC">
            <w:pPr>
              <w:widowControl/>
              <w:jc w:val="center"/>
              <w:rPr>
                <w:sz w:val="22"/>
              </w:rPr>
            </w:pPr>
          </w:p>
        </w:tc>
        <w:tc>
          <w:tcPr>
            <w:tcW w:w="1265" w:type="dxa"/>
            <w:tcBorders>
              <w:bottom w:val="single" w:sz="4" w:space="0" w:color="auto"/>
            </w:tcBorders>
            <w:vAlign w:val="center"/>
          </w:tcPr>
          <w:p w14:paraId="5485924A" w14:textId="77777777" w:rsidR="00E84679" w:rsidRPr="00E91F6E" w:rsidRDefault="00E84679" w:rsidP="000D3BEC">
            <w:pPr>
              <w:widowControl/>
              <w:jc w:val="center"/>
              <w:rPr>
                <w:sz w:val="22"/>
              </w:rPr>
            </w:pPr>
            <w:r w:rsidRPr="00E91F6E">
              <w:rPr>
                <w:sz w:val="22"/>
              </w:rPr>
              <w:t>Total</w:t>
            </w:r>
          </w:p>
        </w:tc>
      </w:tr>
      <w:tr w:rsidR="00E84679" w:rsidRPr="00E91F6E" w14:paraId="4C4CAB9A" w14:textId="77777777" w:rsidTr="00E84679">
        <w:trPr>
          <w:jc w:val="center"/>
        </w:trPr>
        <w:tc>
          <w:tcPr>
            <w:tcW w:w="2160" w:type="dxa"/>
            <w:vAlign w:val="center"/>
          </w:tcPr>
          <w:p w14:paraId="67471DD6" w14:textId="1C11B7FB" w:rsidR="00E84679" w:rsidRPr="00E91F6E" w:rsidRDefault="00E84679" w:rsidP="000D3BEC">
            <w:pPr>
              <w:widowControl/>
              <w:jc w:val="center"/>
              <w:rPr>
                <w:sz w:val="22"/>
              </w:rPr>
            </w:pPr>
            <w:r w:rsidRPr="00E91F6E">
              <w:rPr>
                <w:sz w:val="22"/>
              </w:rPr>
              <w:t>20</w:t>
            </w:r>
            <w:r w:rsidR="00144BD0" w:rsidRPr="00E91F6E">
              <w:rPr>
                <w:sz w:val="22"/>
              </w:rPr>
              <w:t>19</w:t>
            </w:r>
          </w:p>
        </w:tc>
        <w:tc>
          <w:tcPr>
            <w:tcW w:w="450" w:type="dxa"/>
          </w:tcPr>
          <w:p w14:paraId="2E509BD8" w14:textId="77777777" w:rsidR="00E84679" w:rsidRPr="00E91F6E" w:rsidRDefault="00E84679" w:rsidP="000D3BEC">
            <w:pPr>
              <w:widowControl/>
              <w:jc w:val="both"/>
              <w:rPr>
                <w:sz w:val="22"/>
              </w:rPr>
            </w:pPr>
          </w:p>
        </w:tc>
        <w:tc>
          <w:tcPr>
            <w:tcW w:w="1350" w:type="dxa"/>
            <w:vAlign w:val="center"/>
          </w:tcPr>
          <w:p w14:paraId="65778608" w14:textId="77777777" w:rsidR="00E84679" w:rsidRPr="00E91F6E" w:rsidRDefault="00E84679" w:rsidP="000D3BEC">
            <w:pPr>
              <w:widowControl/>
              <w:jc w:val="right"/>
              <w:rPr>
                <w:sz w:val="22"/>
              </w:rPr>
            </w:pPr>
            <w:r w:rsidRPr="00E91F6E">
              <w:rPr>
                <w:sz w:val="22"/>
              </w:rPr>
              <w:t>$   200,000</w:t>
            </w:r>
          </w:p>
        </w:tc>
        <w:tc>
          <w:tcPr>
            <w:tcW w:w="360" w:type="dxa"/>
          </w:tcPr>
          <w:p w14:paraId="355DD592" w14:textId="77777777" w:rsidR="00E84679" w:rsidRPr="00E91F6E" w:rsidRDefault="00E84679" w:rsidP="000D3BEC">
            <w:pPr>
              <w:widowControl/>
              <w:jc w:val="both"/>
              <w:rPr>
                <w:sz w:val="22"/>
              </w:rPr>
            </w:pPr>
          </w:p>
        </w:tc>
        <w:tc>
          <w:tcPr>
            <w:tcW w:w="1170" w:type="dxa"/>
            <w:vAlign w:val="center"/>
          </w:tcPr>
          <w:p w14:paraId="6BD714C2" w14:textId="77777777" w:rsidR="00E84679" w:rsidRPr="00E91F6E" w:rsidRDefault="00E84679" w:rsidP="000D3BEC">
            <w:pPr>
              <w:widowControl/>
              <w:jc w:val="right"/>
              <w:rPr>
                <w:sz w:val="22"/>
              </w:rPr>
            </w:pPr>
            <w:r w:rsidRPr="00E91F6E">
              <w:rPr>
                <w:sz w:val="22"/>
              </w:rPr>
              <w:t>$   36,925</w:t>
            </w:r>
          </w:p>
        </w:tc>
        <w:tc>
          <w:tcPr>
            <w:tcW w:w="373" w:type="dxa"/>
          </w:tcPr>
          <w:p w14:paraId="354444B2" w14:textId="77777777" w:rsidR="00E84679" w:rsidRPr="00E91F6E" w:rsidRDefault="00E84679" w:rsidP="000D3BEC">
            <w:pPr>
              <w:widowControl/>
              <w:jc w:val="both"/>
              <w:rPr>
                <w:sz w:val="22"/>
              </w:rPr>
            </w:pPr>
          </w:p>
        </w:tc>
        <w:tc>
          <w:tcPr>
            <w:tcW w:w="1265" w:type="dxa"/>
            <w:vAlign w:val="center"/>
          </w:tcPr>
          <w:p w14:paraId="170C4200" w14:textId="77777777" w:rsidR="00E84679" w:rsidRPr="00E91F6E" w:rsidRDefault="00E84679" w:rsidP="000D3BEC">
            <w:pPr>
              <w:widowControl/>
              <w:jc w:val="right"/>
              <w:rPr>
                <w:sz w:val="22"/>
              </w:rPr>
            </w:pPr>
            <w:r w:rsidRPr="00E91F6E">
              <w:rPr>
                <w:sz w:val="22"/>
              </w:rPr>
              <w:t>$   236,925</w:t>
            </w:r>
          </w:p>
        </w:tc>
      </w:tr>
      <w:tr w:rsidR="00E84679" w:rsidRPr="00E91F6E" w14:paraId="3F40C719" w14:textId="77777777" w:rsidTr="00E84679">
        <w:trPr>
          <w:jc w:val="center"/>
        </w:trPr>
        <w:tc>
          <w:tcPr>
            <w:tcW w:w="2160" w:type="dxa"/>
            <w:vAlign w:val="center"/>
          </w:tcPr>
          <w:p w14:paraId="3460163A" w14:textId="7B55B904" w:rsidR="00E84679" w:rsidRPr="00E91F6E" w:rsidRDefault="00E84679" w:rsidP="000D3BEC">
            <w:pPr>
              <w:widowControl/>
              <w:jc w:val="center"/>
              <w:rPr>
                <w:sz w:val="22"/>
              </w:rPr>
            </w:pPr>
            <w:r w:rsidRPr="00E91F6E">
              <w:rPr>
                <w:sz w:val="22"/>
              </w:rPr>
              <w:t>20</w:t>
            </w:r>
            <w:r w:rsidR="00144BD0" w:rsidRPr="00E91F6E">
              <w:rPr>
                <w:sz w:val="22"/>
              </w:rPr>
              <w:t>20</w:t>
            </w:r>
          </w:p>
        </w:tc>
        <w:tc>
          <w:tcPr>
            <w:tcW w:w="450" w:type="dxa"/>
          </w:tcPr>
          <w:p w14:paraId="65417C65" w14:textId="77777777" w:rsidR="00E84679" w:rsidRPr="00E91F6E" w:rsidRDefault="00E84679" w:rsidP="000D3BEC">
            <w:pPr>
              <w:widowControl/>
              <w:jc w:val="both"/>
              <w:rPr>
                <w:sz w:val="22"/>
              </w:rPr>
            </w:pPr>
          </w:p>
        </w:tc>
        <w:tc>
          <w:tcPr>
            <w:tcW w:w="1350" w:type="dxa"/>
            <w:vAlign w:val="center"/>
          </w:tcPr>
          <w:p w14:paraId="1C4E19EB" w14:textId="77777777" w:rsidR="00E84679" w:rsidRPr="00E91F6E" w:rsidRDefault="00E84679" w:rsidP="000D3BEC">
            <w:pPr>
              <w:widowControl/>
              <w:jc w:val="right"/>
              <w:rPr>
                <w:sz w:val="22"/>
              </w:rPr>
            </w:pPr>
            <w:r w:rsidRPr="00E91F6E">
              <w:rPr>
                <w:sz w:val="22"/>
              </w:rPr>
              <w:t>200,000</w:t>
            </w:r>
          </w:p>
        </w:tc>
        <w:tc>
          <w:tcPr>
            <w:tcW w:w="360" w:type="dxa"/>
          </w:tcPr>
          <w:p w14:paraId="7B44FD12" w14:textId="77777777" w:rsidR="00E84679" w:rsidRPr="00E91F6E" w:rsidRDefault="00E84679" w:rsidP="000D3BEC">
            <w:pPr>
              <w:widowControl/>
              <w:jc w:val="both"/>
              <w:rPr>
                <w:sz w:val="22"/>
              </w:rPr>
            </w:pPr>
          </w:p>
        </w:tc>
        <w:tc>
          <w:tcPr>
            <w:tcW w:w="1170" w:type="dxa"/>
            <w:vAlign w:val="center"/>
          </w:tcPr>
          <w:p w14:paraId="20AD9E4B" w14:textId="77777777" w:rsidR="00E84679" w:rsidRPr="00E91F6E" w:rsidRDefault="00E84679" w:rsidP="000D3BEC">
            <w:pPr>
              <w:widowControl/>
              <w:jc w:val="right"/>
              <w:rPr>
                <w:sz w:val="22"/>
              </w:rPr>
            </w:pPr>
            <w:r w:rsidRPr="00E91F6E">
              <w:rPr>
                <w:sz w:val="22"/>
              </w:rPr>
              <w:t>29,275</w:t>
            </w:r>
          </w:p>
        </w:tc>
        <w:tc>
          <w:tcPr>
            <w:tcW w:w="373" w:type="dxa"/>
          </w:tcPr>
          <w:p w14:paraId="3F9E5560" w14:textId="77777777" w:rsidR="00E84679" w:rsidRPr="00E91F6E" w:rsidRDefault="00E84679" w:rsidP="000D3BEC">
            <w:pPr>
              <w:widowControl/>
              <w:jc w:val="both"/>
              <w:rPr>
                <w:sz w:val="22"/>
              </w:rPr>
            </w:pPr>
          </w:p>
        </w:tc>
        <w:tc>
          <w:tcPr>
            <w:tcW w:w="1265" w:type="dxa"/>
            <w:vAlign w:val="center"/>
          </w:tcPr>
          <w:p w14:paraId="383E0B35" w14:textId="77777777" w:rsidR="00E84679" w:rsidRPr="00E91F6E" w:rsidRDefault="00E84679" w:rsidP="000D3BEC">
            <w:pPr>
              <w:widowControl/>
              <w:jc w:val="right"/>
              <w:rPr>
                <w:sz w:val="22"/>
              </w:rPr>
            </w:pPr>
            <w:r w:rsidRPr="00E91F6E">
              <w:rPr>
                <w:sz w:val="22"/>
              </w:rPr>
              <w:t>229,275</w:t>
            </w:r>
          </w:p>
        </w:tc>
      </w:tr>
      <w:tr w:rsidR="00E84679" w:rsidRPr="00E91F6E" w14:paraId="3C22359B" w14:textId="77777777" w:rsidTr="00E84679">
        <w:trPr>
          <w:jc w:val="center"/>
        </w:trPr>
        <w:tc>
          <w:tcPr>
            <w:tcW w:w="2160" w:type="dxa"/>
            <w:vAlign w:val="center"/>
          </w:tcPr>
          <w:p w14:paraId="3322D191" w14:textId="41F98CE7" w:rsidR="00E84679" w:rsidRPr="00E91F6E" w:rsidRDefault="00144BD0" w:rsidP="000D3BEC">
            <w:pPr>
              <w:widowControl/>
              <w:jc w:val="center"/>
              <w:rPr>
                <w:sz w:val="22"/>
              </w:rPr>
            </w:pPr>
            <w:r w:rsidRPr="00E91F6E">
              <w:rPr>
                <w:sz w:val="22"/>
              </w:rPr>
              <w:t>2021</w:t>
            </w:r>
          </w:p>
        </w:tc>
        <w:tc>
          <w:tcPr>
            <w:tcW w:w="450" w:type="dxa"/>
          </w:tcPr>
          <w:p w14:paraId="59CE6617" w14:textId="77777777" w:rsidR="00E84679" w:rsidRPr="00E91F6E" w:rsidRDefault="00E84679" w:rsidP="000D3BEC">
            <w:pPr>
              <w:widowControl/>
              <w:jc w:val="both"/>
              <w:rPr>
                <w:sz w:val="22"/>
              </w:rPr>
            </w:pPr>
          </w:p>
        </w:tc>
        <w:tc>
          <w:tcPr>
            <w:tcW w:w="1350" w:type="dxa"/>
            <w:vAlign w:val="center"/>
          </w:tcPr>
          <w:p w14:paraId="5E2F65F5" w14:textId="77777777" w:rsidR="00E84679" w:rsidRPr="00E91F6E" w:rsidRDefault="00E84679" w:rsidP="000D3BEC">
            <w:pPr>
              <w:widowControl/>
              <w:jc w:val="right"/>
              <w:rPr>
                <w:sz w:val="22"/>
              </w:rPr>
            </w:pPr>
            <w:r w:rsidRPr="00E91F6E">
              <w:rPr>
                <w:sz w:val="22"/>
              </w:rPr>
              <w:t>200,000</w:t>
            </w:r>
          </w:p>
        </w:tc>
        <w:tc>
          <w:tcPr>
            <w:tcW w:w="360" w:type="dxa"/>
          </w:tcPr>
          <w:p w14:paraId="5B674D88" w14:textId="77777777" w:rsidR="00E84679" w:rsidRPr="00E91F6E" w:rsidRDefault="00E84679" w:rsidP="000D3BEC">
            <w:pPr>
              <w:widowControl/>
              <w:jc w:val="both"/>
              <w:rPr>
                <w:sz w:val="22"/>
              </w:rPr>
            </w:pPr>
          </w:p>
        </w:tc>
        <w:tc>
          <w:tcPr>
            <w:tcW w:w="1170" w:type="dxa"/>
            <w:vAlign w:val="center"/>
          </w:tcPr>
          <w:p w14:paraId="251638F8" w14:textId="77777777" w:rsidR="00E84679" w:rsidRPr="00E91F6E" w:rsidRDefault="00E84679" w:rsidP="000D3BEC">
            <w:pPr>
              <w:widowControl/>
              <w:jc w:val="right"/>
              <w:rPr>
                <w:sz w:val="22"/>
              </w:rPr>
            </w:pPr>
            <w:r w:rsidRPr="00E91F6E">
              <w:rPr>
                <w:sz w:val="22"/>
              </w:rPr>
              <w:t>21,525</w:t>
            </w:r>
          </w:p>
        </w:tc>
        <w:tc>
          <w:tcPr>
            <w:tcW w:w="373" w:type="dxa"/>
          </w:tcPr>
          <w:p w14:paraId="60943E69" w14:textId="77777777" w:rsidR="00E84679" w:rsidRPr="00E91F6E" w:rsidRDefault="00E84679" w:rsidP="000D3BEC">
            <w:pPr>
              <w:widowControl/>
              <w:jc w:val="both"/>
              <w:rPr>
                <w:sz w:val="22"/>
              </w:rPr>
            </w:pPr>
          </w:p>
        </w:tc>
        <w:tc>
          <w:tcPr>
            <w:tcW w:w="1265" w:type="dxa"/>
            <w:vAlign w:val="center"/>
          </w:tcPr>
          <w:p w14:paraId="322B2474" w14:textId="77777777" w:rsidR="00E84679" w:rsidRPr="00E91F6E" w:rsidRDefault="00E84679" w:rsidP="000D3BEC">
            <w:pPr>
              <w:widowControl/>
              <w:jc w:val="right"/>
              <w:rPr>
                <w:sz w:val="22"/>
              </w:rPr>
            </w:pPr>
            <w:r w:rsidRPr="00E91F6E">
              <w:rPr>
                <w:sz w:val="22"/>
              </w:rPr>
              <w:t>221,525</w:t>
            </w:r>
          </w:p>
        </w:tc>
      </w:tr>
      <w:tr w:rsidR="00E84679" w:rsidRPr="00E91F6E" w14:paraId="58349A89" w14:textId="77777777" w:rsidTr="00E84679">
        <w:trPr>
          <w:jc w:val="center"/>
        </w:trPr>
        <w:tc>
          <w:tcPr>
            <w:tcW w:w="2160" w:type="dxa"/>
            <w:vAlign w:val="center"/>
          </w:tcPr>
          <w:p w14:paraId="076F4F62" w14:textId="4B356BDD" w:rsidR="00E84679" w:rsidRPr="00E91F6E" w:rsidRDefault="00144BD0" w:rsidP="000D3BEC">
            <w:pPr>
              <w:widowControl/>
              <w:jc w:val="center"/>
              <w:rPr>
                <w:sz w:val="22"/>
              </w:rPr>
            </w:pPr>
            <w:r w:rsidRPr="00E91F6E">
              <w:rPr>
                <w:sz w:val="22"/>
              </w:rPr>
              <w:t>2022</w:t>
            </w:r>
          </w:p>
        </w:tc>
        <w:tc>
          <w:tcPr>
            <w:tcW w:w="450" w:type="dxa"/>
          </w:tcPr>
          <w:p w14:paraId="54450E6F" w14:textId="77777777" w:rsidR="00E84679" w:rsidRPr="00E91F6E" w:rsidRDefault="00E84679" w:rsidP="000D3BEC">
            <w:pPr>
              <w:widowControl/>
              <w:jc w:val="both"/>
              <w:rPr>
                <w:sz w:val="22"/>
              </w:rPr>
            </w:pPr>
          </w:p>
        </w:tc>
        <w:tc>
          <w:tcPr>
            <w:tcW w:w="1350" w:type="dxa"/>
            <w:vAlign w:val="center"/>
          </w:tcPr>
          <w:p w14:paraId="78479C20" w14:textId="77777777" w:rsidR="00E84679" w:rsidRPr="00E91F6E" w:rsidRDefault="00E84679" w:rsidP="000D3BEC">
            <w:pPr>
              <w:widowControl/>
              <w:jc w:val="right"/>
              <w:rPr>
                <w:sz w:val="22"/>
              </w:rPr>
            </w:pPr>
            <w:r w:rsidRPr="00E91F6E">
              <w:rPr>
                <w:sz w:val="22"/>
              </w:rPr>
              <w:t>200,000</w:t>
            </w:r>
          </w:p>
        </w:tc>
        <w:tc>
          <w:tcPr>
            <w:tcW w:w="360" w:type="dxa"/>
          </w:tcPr>
          <w:p w14:paraId="6E3D75BA" w14:textId="77777777" w:rsidR="00E84679" w:rsidRPr="00E91F6E" w:rsidRDefault="00E84679" w:rsidP="000D3BEC">
            <w:pPr>
              <w:widowControl/>
              <w:jc w:val="both"/>
              <w:rPr>
                <w:sz w:val="22"/>
              </w:rPr>
            </w:pPr>
          </w:p>
        </w:tc>
        <w:tc>
          <w:tcPr>
            <w:tcW w:w="1170" w:type="dxa"/>
            <w:vAlign w:val="center"/>
          </w:tcPr>
          <w:p w14:paraId="46DA5562" w14:textId="77777777" w:rsidR="00E84679" w:rsidRPr="00E91F6E" w:rsidRDefault="00E84679" w:rsidP="000D3BEC">
            <w:pPr>
              <w:widowControl/>
              <w:jc w:val="right"/>
              <w:rPr>
                <w:sz w:val="22"/>
              </w:rPr>
            </w:pPr>
            <w:r w:rsidRPr="00E91F6E">
              <w:rPr>
                <w:sz w:val="22"/>
              </w:rPr>
              <w:t>13,775</w:t>
            </w:r>
          </w:p>
        </w:tc>
        <w:tc>
          <w:tcPr>
            <w:tcW w:w="373" w:type="dxa"/>
          </w:tcPr>
          <w:p w14:paraId="410A7156" w14:textId="77777777" w:rsidR="00E84679" w:rsidRPr="00E91F6E" w:rsidRDefault="00E84679" w:rsidP="000D3BEC">
            <w:pPr>
              <w:widowControl/>
              <w:jc w:val="both"/>
              <w:rPr>
                <w:sz w:val="22"/>
              </w:rPr>
            </w:pPr>
          </w:p>
        </w:tc>
        <w:tc>
          <w:tcPr>
            <w:tcW w:w="1265" w:type="dxa"/>
            <w:vAlign w:val="center"/>
          </w:tcPr>
          <w:p w14:paraId="48AAB6D3" w14:textId="77777777" w:rsidR="00E84679" w:rsidRPr="00E91F6E" w:rsidRDefault="00E84679" w:rsidP="000D3BEC">
            <w:pPr>
              <w:widowControl/>
              <w:jc w:val="right"/>
              <w:rPr>
                <w:sz w:val="22"/>
              </w:rPr>
            </w:pPr>
            <w:r w:rsidRPr="00E91F6E">
              <w:rPr>
                <w:sz w:val="22"/>
              </w:rPr>
              <w:t>213,775</w:t>
            </w:r>
          </w:p>
        </w:tc>
      </w:tr>
      <w:tr w:rsidR="00E84679" w:rsidRPr="00E91F6E" w14:paraId="4C854D07" w14:textId="77777777" w:rsidTr="00E84679">
        <w:trPr>
          <w:jc w:val="center"/>
        </w:trPr>
        <w:tc>
          <w:tcPr>
            <w:tcW w:w="2160" w:type="dxa"/>
            <w:vAlign w:val="center"/>
          </w:tcPr>
          <w:p w14:paraId="75196A75" w14:textId="41CC6EF8" w:rsidR="00E84679" w:rsidRPr="00E91F6E" w:rsidRDefault="00144BD0" w:rsidP="000D3BEC">
            <w:pPr>
              <w:widowControl/>
              <w:jc w:val="center"/>
              <w:rPr>
                <w:sz w:val="22"/>
              </w:rPr>
            </w:pPr>
            <w:r w:rsidRPr="00E91F6E">
              <w:rPr>
                <w:sz w:val="22"/>
              </w:rPr>
              <w:t>2023</w:t>
            </w:r>
          </w:p>
        </w:tc>
        <w:tc>
          <w:tcPr>
            <w:tcW w:w="450" w:type="dxa"/>
          </w:tcPr>
          <w:p w14:paraId="6B1611E6" w14:textId="77777777" w:rsidR="00E84679" w:rsidRPr="00E91F6E" w:rsidRDefault="00E84679" w:rsidP="000D3BEC">
            <w:pPr>
              <w:widowControl/>
              <w:jc w:val="both"/>
              <w:rPr>
                <w:sz w:val="22"/>
              </w:rPr>
            </w:pPr>
          </w:p>
        </w:tc>
        <w:tc>
          <w:tcPr>
            <w:tcW w:w="1350" w:type="dxa"/>
            <w:vAlign w:val="center"/>
          </w:tcPr>
          <w:p w14:paraId="48B98716" w14:textId="4B488D86" w:rsidR="00E84679" w:rsidRPr="00E91F6E" w:rsidRDefault="00144BD0" w:rsidP="000D3BEC">
            <w:pPr>
              <w:widowControl/>
              <w:jc w:val="right"/>
              <w:rPr>
                <w:sz w:val="22"/>
              </w:rPr>
            </w:pPr>
            <w:r w:rsidRPr="00E91F6E">
              <w:rPr>
                <w:sz w:val="22"/>
              </w:rPr>
              <w:t>200</w:t>
            </w:r>
            <w:r w:rsidR="00E84679" w:rsidRPr="00E91F6E">
              <w:rPr>
                <w:sz w:val="22"/>
              </w:rPr>
              <w:t>,000</w:t>
            </w:r>
          </w:p>
        </w:tc>
        <w:tc>
          <w:tcPr>
            <w:tcW w:w="360" w:type="dxa"/>
          </w:tcPr>
          <w:p w14:paraId="10802B71" w14:textId="77777777" w:rsidR="00E84679" w:rsidRPr="00E91F6E" w:rsidRDefault="00E84679" w:rsidP="000D3BEC">
            <w:pPr>
              <w:widowControl/>
              <w:jc w:val="both"/>
              <w:rPr>
                <w:sz w:val="22"/>
              </w:rPr>
            </w:pPr>
          </w:p>
        </w:tc>
        <w:tc>
          <w:tcPr>
            <w:tcW w:w="1170" w:type="dxa"/>
            <w:vAlign w:val="center"/>
          </w:tcPr>
          <w:p w14:paraId="200F365D" w14:textId="2A622305" w:rsidR="00E84679" w:rsidRPr="00E91F6E" w:rsidRDefault="00144BD0" w:rsidP="000D3BEC">
            <w:pPr>
              <w:widowControl/>
              <w:jc w:val="right"/>
              <w:rPr>
                <w:sz w:val="22"/>
              </w:rPr>
            </w:pPr>
            <w:r w:rsidRPr="00E91F6E">
              <w:rPr>
                <w:sz w:val="22"/>
              </w:rPr>
              <w:t>4,149</w:t>
            </w:r>
          </w:p>
        </w:tc>
        <w:tc>
          <w:tcPr>
            <w:tcW w:w="373" w:type="dxa"/>
          </w:tcPr>
          <w:p w14:paraId="02A55CFD" w14:textId="77777777" w:rsidR="00E84679" w:rsidRPr="00E91F6E" w:rsidRDefault="00E84679" w:rsidP="000D3BEC">
            <w:pPr>
              <w:widowControl/>
              <w:jc w:val="both"/>
              <w:rPr>
                <w:sz w:val="22"/>
              </w:rPr>
            </w:pPr>
          </w:p>
        </w:tc>
        <w:tc>
          <w:tcPr>
            <w:tcW w:w="1265" w:type="dxa"/>
            <w:vAlign w:val="center"/>
          </w:tcPr>
          <w:p w14:paraId="1CED092A" w14:textId="055A2242" w:rsidR="00E84679" w:rsidRPr="00E91F6E" w:rsidRDefault="00E84679" w:rsidP="000D3BEC">
            <w:pPr>
              <w:widowControl/>
              <w:jc w:val="right"/>
              <w:rPr>
                <w:sz w:val="22"/>
              </w:rPr>
            </w:pPr>
            <w:r w:rsidRPr="00E91F6E">
              <w:rPr>
                <w:sz w:val="22"/>
              </w:rPr>
              <w:t>2</w:t>
            </w:r>
            <w:r w:rsidR="00144BD0" w:rsidRPr="00E91F6E">
              <w:rPr>
                <w:sz w:val="22"/>
              </w:rPr>
              <w:t>0</w:t>
            </w:r>
            <w:r w:rsidRPr="00E91F6E">
              <w:rPr>
                <w:sz w:val="22"/>
              </w:rPr>
              <w:t>4,</w:t>
            </w:r>
            <w:r w:rsidR="00144BD0" w:rsidRPr="00E91F6E">
              <w:rPr>
                <w:sz w:val="22"/>
              </w:rPr>
              <w:t>149</w:t>
            </w:r>
          </w:p>
        </w:tc>
      </w:tr>
      <w:tr w:rsidR="00E84679" w:rsidRPr="00E91F6E" w14:paraId="2A15D38E" w14:textId="77777777" w:rsidTr="00E84679">
        <w:trPr>
          <w:jc w:val="center"/>
        </w:trPr>
        <w:tc>
          <w:tcPr>
            <w:tcW w:w="2160" w:type="dxa"/>
            <w:vAlign w:val="center"/>
          </w:tcPr>
          <w:p w14:paraId="30E8DBF0" w14:textId="7F7C3829" w:rsidR="00E84679" w:rsidRPr="00E91F6E" w:rsidRDefault="00144BD0" w:rsidP="000D3BEC">
            <w:pPr>
              <w:widowControl/>
              <w:jc w:val="center"/>
              <w:rPr>
                <w:sz w:val="22"/>
              </w:rPr>
            </w:pPr>
            <w:r w:rsidRPr="00E91F6E">
              <w:rPr>
                <w:sz w:val="22"/>
              </w:rPr>
              <w:t>2024</w:t>
            </w:r>
            <w:r w:rsidR="003B03E5" w:rsidRPr="00E91F6E">
              <w:rPr>
                <w:sz w:val="22"/>
              </w:rPr>
              <w:t>-202</w:t>
            </w:r>
            <w:r w:rsidRPr="00E91F6E">
              <w:rPr>
                <w:sz w:val="22"/>
              </w:rPr>
              <w:t>5</w:t>
            </w:r>
          </w:p>
        </w:tc>
        <w:tc>
          <w:tcPr>
            <w:tcW w:w="450" w:type="dxa"/>
          </w:tcPr>
          <w:p w14:paraId="704A4A38" w14:textId="77777777" w:rsidR="00E84679" w:rsidRPr="00E91F6E" w:rsidRDefault="00E84679" w:rsidP="000D3BEC">
            <w:pPr>
              <w:widowControl/>
              <w:jc w:val="both"/>
              <w:rPr>
                <w:sz w:val="22"/>
              </w:rPr>
            </w:pPr>
          </w:p>
        </w:tc>
        <w:tc>
          <w:tcPr>
            <w:tcW w:w="1350" w:type="dxa"/>
            <w:tcBorders>
              <w:bottom w:val="single" w:sz="4" w:space="0" w:color="auto"/>
            </w:tcBorders>
            <w:vAlign w:val="center"/>
          </w:tcPr>
          <w:p w14:paraId="6D0E43D9" w14:textId="2C42726C" w:rsidR="00E84679" w:rsidRPr="00E91F6E" w:rsidRDefault="00144BD0" w:rsidP="000D3BEC">
            <w:pPr>
              <w:widowControl/>
              <w:jc w:val="right"/>
              <w:rPr>
                <w:sz w:val="22"/>
              </w:rPr>
            </w:pPr>
            <w:r w:rsidRPr="00E91F6E">
              <w:rPr>
                <w:sz w:val="22"/>
              </w:rPr>
              <w:t>250,000</w:t>
            </w:r>
          </w:p>
        </w:tc>
        <w:tc>
          <w:tcPr>
            <w:tcW w:w="360" w:type="dxa"/>
          </w:tcPr>
          <w:p w14:paraId="574DBF43" w14:textId="77777777" w:rsidR="00E84679" w:rsidRPr="00E91F6E" w:rsidRDefault="00E84679" w:rsidP="000D3BEC">
            <w:pPr>
              <w:widowControl/>
              <w:jc w:val="both"/>
              <w:rPr>
                <w:sz w:val="22"/>
              </w:rPr>
            </w:pPr>
          </w:p>
        </w:tc>
        <w:tc>
          <w:tcPr>
            <w:tcW w:w="1170" w:type="dxa"/>
            <w:tcBorders>
              <w:bottom w:val="single" w:sz="4" w:space="0" w:color="auto"/>
            </w:tcBorders>
            <w:vAlign w:val="center"/>
          </w:tcPr>
          <w:p w14:paraId="5CAF48AD" w14:textId="762801DE" w:rsidR="00E84679" w:rsidRPr="00E91F6E" w:rsidRDefault="00144BD0" w:rsidP="000D3BEC">
            <w:pPr>
              <w:widowControl/>
              <w:jc w:val="right"/>
              <w:rPr>
                <w:sz w:val="22"/>
              </w:rPr>
            </w:pPr>
            <w:r w:rsidRPr="00E91F6E">
              <w:rPr>
                <w:sz w:val="22"/>
              </w:rPr>
              <w:t>789</w:t>
            </w:r>
          </w:p>
        </w:tc>
        <w:tc>
          <w:tcPr>
            <w:tcW w:w="373" w:type="dxa"/>
          </w:tcPr>
          <w:p w14:paraId="4B83FECC" w14:textId="77777777" w:rsidR="00E84679" w:rsidRPr="00E91F6E" w:rsidRDefault="00E84679" w:rsidP="000D3BEC">
            <w:pPr>
              <w:widowControl/>
              <w:jc w:val="both"/>
              <w:rPr>
                <w:sz w:val="22"/>
              </w:rPr>
            </w:pPr>
          </w:p>
        </w:tc>
        <w:tc>
          <w:tcPr>
            <w:tcW w:w="1265" w:type="dxa"/>
            <w:tcBorders>
              <w:bottom w:val="single" w:sz="4" w:space="0" w:color="auto"/>
            </w:tcBorders>
            <w:vAlign w:val="center"/>
          </w:tcPr>
          <w:p w14:paraId="21D2ABCE" w14:textId="5B83893C" w:rsidR="00E84679" w:rsidRPr="00E91F6E" w:rsidRDefault="00144BD0" w:rsidP="000D3BEC">
            <w:pPr>
              <w:widowControl/>
              <w:jc w:val="right"/>
              <w:rPr>
                <w:sz w:val="22"/>
              </w:rPr>
            </w:pPr>
            <w:r w:rsidRPr="00E91F6E">
              <w:rPr>
                <w:sz w:val="22"/>
              </w:rPr>
              <w:t>250,789</w:t>
            </w:r>
          </w:p>
        </w:tc>
      </w:tr>
      <w:tr w:rsidR="00E84679" w:rsidRPr="00E91F6E" w14:paraId="05F1016C" w14:textId="77777777" w:rsidTr="00E84679">
        <w:trPr>
          <w:jc w:val="center"/>
        </w:trPr>
        <w:tc>
          <w:tcPr>
            <w:tcW w:w="2160" w:type="dxa"/>
            <w:vAlign w:val="center"/>
          </w:tcPr>
          <w:p w14:paraId="2261C0A2" w14:textId="77777777" w:rsidR="00E84679" w:rsidRPr="00E91F6E" w:rsidRDefault="00E84679" w:rsidP="000D3BEC">
            <w:pPr>
              <w:widowControl/>
              <w:jc w:val="center"/>
              <w:rPr>
                <w:sz w:val="22"/>
              </w:rPr>
            </w:pPr>
            <w:r w:rsidRPr="00E91F6E">
              <w:rPr>
                <w:sz w:val="22"/>
              </w:rPr>
              <w:t>Total</w:t>
            </w:r>
          </w:p>
        </w:tc>
        <w:tc>
          <w:tcPr>
            <w:tcW w:w="450" w:type="dxa"/>
          </w:tcPr>
          <w:p w14:paraId="1B27DCB9" w14:textId="77777777" w:rsidR="00E84679" w:rsidRPr="00E91F6E" w:rsidRDefault="00E84679" w:rsidP="000D3BEC">
            <w:pPr>
              <w:widowControl/>
              <w:jc w:val="both"/>
              <w:rPr>
                <w:sz w:val="22"/>
              </w:rPr>
            </w:pPr>
          </w:p>
        </w:tc>
        <w:tc>
          <w:tcPr>
            <w:tcW w:w="1350" w:type="dxa"/>
            <w:tcBorders>
              <w:top w:val="single" w:sz="4" w:space="0" w:color="auto"/>
              <w:bottom w:val="double" w:sz="4" w:space="0" w:color="auto"/>
            </w:tcBorders>
            <w:vAlign w:val="center"/>
          </w:tcPr>
          <w:p w14:paraId="634B5ED3" w14:textId="19BF74D9" w:rsidR="00E84679" w:rsidRPr="00E91F6E" w:rsidRDefault="00144BD0" w:rsidP="000D3BEC">
            <w:pPr>
              <w:widowControl/>
              <w:jc w:val="right"/>
              <w:rPr>
                <w:sz w:val="22"/>
              </w:rPr>
            </w:pPr>
            <w:r w:rsidRPr="00E91F6E">
              <w:rPr>
                <w:sz w:val="22"/>
              </w:rPr>
              <w:t>$1,2</w:t>
            </w:r>
            <w:r w:rsidR="00E84679" w:rsidRPr="00E91F6E">
              <w:rPr>
                <w:sz w:val="22"/>
              </w:rPr>
              <w:t>50,000</w:t>
            </w:r>
          </w:p>
        </w:tc>
        <w:tc>
          <w:tcPr>
            <w:tcW w:w="360" w:type="dxa"/>
          </w:tcPr>
          <w:p w14:paraId="5D81B8A4" w14:textId="77777777" w:rsidR="00E84679" w:rsidRPr="00E91F6E" w:rsidRDefault="00E84679" w:rsidP="000D3BEC">
            <w:pPr>
              <w:widowControl/>
              <w:jc w:val="both"/>
              <w:rPr>
                <w:sz w:val="22"/>
              </w:rPr>
            </w:pPr>
          </w:p>
        </w:tc>
        <w:tc>
          <w:tcPr>
            <w:tcW w:w="1170" w:type="dxa"/>
            <w:tcBorders>
              <w:top w:val="single" w:sz="4" w:space="0" w:color="auto"/>
              <w:bottom w:val="double" w:sz="4" w:space="0" w:color="auto"/>
            </w:tcBorders>
            <w:vAlign w:val="center"/>
          </w:tcPr>
          <w:p w14:paraId="54954C4F" w14:textId="77777777" w:rsidR="00E84679" w:rsidRPr="00E91F6E" w:rsidRDefault="00E84679" w:rsidP="000D3BEC">
            <w:pPr>
              <w:widowControl/>
              <w:jc w:val="right"/>
              <w:rPr>
                <w:sz w:val="22"/>
              </w:rPr>
            </w:pPr>
            <w:r w:rsidRPr="00E91F6E">
              <w:rPr>
                <w:sz w:val="22"/>
              </w:rPr>
              <w:t>$106,438</w:t>
            </w:r>
          </w:p>
        </w:tc>
        <w:tc>
          <w:tcPr>
            <w:tcW w:w="373" w:type="dxa"/>
          </w:tcPr>
          <w:p w14:paraId="7E9D5FA4" w14:textId="77777777" w:rsidR="00E84679" w:rsidRPr="00E91F6E" w:rsidRDefault="00E84679" w:rsidP="000D3BEC">
            <w:pPr>
              <w:widowControl/>
              <w:jc w:val="both"/>
              <w:rPr>
                <w:sz w:val="22"/>
              </w:rPr>
            </w:pPr>
          </w:p>
        </w:tc>
        <w:tc>
          <w:tcPr>
            <w:tcW w:w="1265" w:type="dxa"/>
            <w:tcBorders>
              <w:top w:val="single" w:sz="4" w:space="0" w:color="auto"/>
              <w:bottom w:val="double" w:sz="4" w:space="0" w:color="auto"/>
            </w:tcBorders>
            <w:vAlign w:val="center"/>
          </w:tcPr>
          <w:p w14:paraId="766B1AD3" w14:textId="25A65FD4" w:rsidR="00E84679" w:rsidRPr="00E91F6E" w:rsidRDefault="00144BD0" w:rsidP="000D3BEC">
            <w:pPr>
              <w:widowControl/>
              <w:jc w:val="right"/>
              <w:rPr>
                <w:sz w:val="22"/>
              </w:rPr>
            </w:pPr>
            <w:r w:rsidRPr="00E91F6E">
              <w:rPr>
                <w:sz w:val="22"/>
              </w:rPr>
              <w:t>$1,2</w:t>
            </w:r>
            <w:r w:rsidR="00E84679" w:rsidRPr="00E91F6E">
              <w:rPr>
                <w:sz w:val="22"/>
              </w:rPr>
              <w:t>56,438</w:t>
            </w:r>
          </w:p>
        </w:tc>
      </w:tr>
      <w:tr w:rsidR="00E84679" w:rsidRPr="00E91F6E" w14:paraId="14FCF37A" w14:textId="77777777" w:rsidTr="00E84679">
        <w:trPr>
          <w:jc w:val="center"/>
        </w:trPr>
        <w:tc>
          <w:tcPr>
            <w:tcW w:w="2160" w:type="dxa"/>
            <w:vAlign w:val="center"/>
          </w:tcPr>
          <w:p w14:paraId="09D04DF3" w14:textId="77777777" w:rsidR="00E84679" w:rsidRPr="00E91F6E" w:rsidRDefault="00E84679" w:rsidP="000D3BEC">
            <w:pPr>
              <w:widowControl/>
              <w:jc w:val="center"/>
              <w:rPr>
                <w:sz w:val="22"/>
              </w:rPr>
            </w:pPr>
          </w:p>
          <w:p w14:paraId="174B2238" w14:textId="77777777" w:rsidR="006C46A2" w:rsidRPr="00E91F6E" w:rsidRDefault="006C46A2" w:rsidP="000D3BEC">
            <w:pPr>
              <w:widowControl/>
              <w:jc w:val="center"/>
              <w:rPr>
                <w:sz w:val="22"/>
              </w:rPr>
            </w:pPr>
          </w:p>
        </w:tc>
        <w:tc>
          <w:tcPr>
            <w:tcW w:w="450" w:type="dxa"/>
          </w:tcPr>
          <w:p w14:paraId="386C8800" w14:textId="77777777" w:rsidR="00E84679" w:rsidRPr="00E91F6E" w:rsidRDefault="00E84679" w:rsidP="000D3BEC">
            <w:pPr>
              <w:widowControl/>
              <w:jc w:val="both"/>
              <w:rPr>
                <w:sz w:val="22"/>
              </w:rPr>
            </w:pPr>
          </w:p>
        </w:tc>
        <w:tc>
          <w:tcPr>
            <w:tcW w:w="1350" w:type="dxa"/>
            <w:tcBorders>
              <w:top w:val="double" w:sz="4" w:space="0" w:color="auto"/>
            </w:tcBorders>
            <w:vAlign w:val="center"/>
          </w:tcPr>
          <w:p w14:paraId="36AA30AE" w14:textId="77777777" w:rsidR="00E84679" w:rsidRPr="00E91F6E" w:rsidRDefault="00E84679" w:rsidP="000D3BEC">
            <w:pPr>
              <w:widowControl/>
              <w:jc w:val="right"/>
              <w:rPr>
                <w:sz w:val="22"/>
              </w:rPr>
            </w:pPr>
          </w:p>
        </w:tc>
        <w:tc>
          <w:tcPr>
            <w:tcW w:w="360" w:type="dxa"/>
          </w:tcPr>
          <w:p w14:paraId="3A1A6465" w14:textId="77777777" w:rsidR="00E84679" w:rsidRPr="00E91F6E" w:rsidRDefault="00E84679" w:rsidP="000D3BEC">
            <w:pPr>
              <w:widowControl/>
              <w:jc w:val="both"/>
              <w:rPr>
                <w:sz w:val="22"/>
              </w:rPr>
            </w:pPr>
          </w:p>
        </w:tc>
        <w:tc>
          <w:tcPr>
            <w:tcW w:w="1170" w:type="dxa"/>
            <w:tcBorders>
              <w:top w:val="double" w:sz="4" w:space="0" w:color="auto"/>
            </w:tcBorders>
            <w:vAlign w:val="center"/>
          </w:tcPr>
          <w:p w14:paraId="218A40B9" w14:textId="77777777" w:rsidR="00E84679" w:rsidRPr="00E91F6E" w:rsidRDefault="00E84679" w:rsidP="000D3BEC">
            <w:pPr>
              <w:widowControl/>
              <w:jc w:val="right"/>
              <w:rPr>
                <w:sz w:val="22"/>
              </w:rPr>
            </w:pPr>
          </w:p>
        </w:tc>
        <w:tc>
          <w:tcPr>
            <w:tcW w:w="373" w:type="dxa"/>
          </w:tcPr>
          <w:p w14:paraId="4FE1BE5D" w14:textId="77777777" w:rsidR="00E84679" w:rsidRPr="00E91F6E" w:rsidRDefault="00E84679" w:rsidP="000D3BEC">
            <w:pPr>
              <w:widowControl/>
              <w:jc w:val="both"/>
              <w:rPr>
                <w:sz w:val="22"/>
              </w:rPr>
            </w:pPr>
          </w:p>
        </w:tc>
        <w:tc>
          <w:tcPr>
            <w:tcW w:w="1265" w:type="dxa"/>
            <w:tcBorders>
              <w:top w:val="double" w:sz="4" w:space="0" w:color="auto"/>
            </w:tcBorders>
            <w:vAlign w:val="center"/>
          </w:tcPr>
          <w:p w14:paraId="2250E8BA" w14:textId="77777777" w:rsidR="00E84679" w:rsidRPr="00E91F6E" w:rsidRDefault="00E84679" w:rsidP="000D3BEC">
            <w:pPr>
              <w:widowControl/>
              <w:jc w:val="right"/>
              <w:rPr>
                <w:sz w:val="22"/>
              </w:rPr>
            </w:pPr>
          </w:p>
        </w:tc>
      </w:tr>
    </w:tbl>
    <w:p w14:paraId="09C75B31" w14:textId="066660EE" w:rsidR="00B25EE0" w:rsidRPr="00E91F6E" w:rsidRDefault="00CA111C" w:rsidP="00B25EE0">
      <w:pPr>
        <w:pStyle w:val="ListParagraph"/>
        <w:tabs>
          <w:tab w:val="left" w:pos="-1440"/>
          <w:tab w:val="left" w:pos="-720"/>
          <w:tab w:val="left" w:pos="720"/>
          <w:tab w:val="left" w:pos="1440"/>
          <w:tab w:val="left" w:pos="2160"/>
          <w:tab w:val="left" w:pos="2880"/>
          <w:tab w:val="left" w:pos="3600"/>
          <w:tab w:val="left" w:pos="4320"/>
          <w:tab w:val="left" w:pos="5040"/>
          <w:tab w:val="left" w:pos="5760"/>
          <w:tab w:val="left" w:pos="6480"/>
          <w:tab w:val="left" w:pos="6720"/>
        </w:tabs>
        <w:jc w:val="both"/>
        <w:rPr>
          <w:b/>
          <w:sz w:val="22"/>
          <w:szCs w:val="22"/>
          <w:highlight w:val="yellow"/>
          <w:u w:val="single"/>
        </w:rPr>
      </w:pPr>
      <w:r w:rsidRPr="00E91F6E">
        <w:rPr>
          <w:b/>
          <w:sz w:val="22"/>
          <w:szCs w:val="22"/>
          <w:highlight w:val="green"/>
        </w:rPr>
        <w:t>The sales tax</w:t>
      </w:r>
      <w:r w:rsidR="0068020D" w:rsidRPr="00E91F6E">
        <w:rPr>
          <w:b/>
          <w:sz w:val="22"/>
          <w:szCs w:val="22"/>
          <w:highlight w:val="green"/>
        </w:rPr>
        <w:t xml:space="preserve"> disclosur</w:t>
      </w:r>
      <w:r w:rsidRPr="00E91F6E">
        <w:rPr>
          <w:b/>
          <w:sz w:val="22"/>
          <w:szCs w:val="22"/>
          <w:highlight w:val="green"/>
        </w:rPr>
        <w:t>e</w:t>
      </w:r>
      <w:r w:rsidR="00C13561" w:rsidRPr="00E91F6E">
        <w:rPr>
          <w:b/>
          <w:sz w:val="22"/>
          <w:szCs w:val="22"/>
          <w:highlight w:val="green"/>
        </w:rPr>
        <w:t xml:space="preserve"> describes the ballot provisions of any current sales tax in the fiscal year, including: the duration, percentage, and effective date of the tax, the purpose of the tax (as outlined in the ballot), and the fund(s) that account for the tax.  A separate disclosure should be made for each sales tax that was effective during the fiscal year</w:t>
      </w:r>
      <w:r w:rsidR="009F1611" w:rsidRPr="00E91F6E">
        <w:rPr>
          <w:b/>
          <w:sz w:val="22"/>
          <w:szCs w:val="22"/>
          <w:highlight w:val="green"/>
        </w:rPr>
        <w:t>.  If no sales taxes were in effect during the fiscal year reported this disclosure should be removed</w:t>
      </w:r>
      <w:r w:rsidRPr="00E91F6E">
        <w:rPr>
          <w:b/>
          <w:sz w:val="22"/>
          <w:szCs w:val="22"/>
          <w:highlight w:val="green"/>
        </w:rPr>
        <w:t>.</w:t>
      </w:r>
    </w:p>
    <w:p w14:paraId="471542DF" w14:textId="09FB53B7" w:rsidR="00E84679" w:rsidRPr="00E91F6E" w:rsidRDefault="00E84679" w:rsidP="000D3BEC">
      <w:pPr>
        <w:pStyle w:val="ListParagraph"/>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6720"/>
        </w:tabs>
        <w:jc w:val="both"/>
        <w:rPr>
          <w:b/>
          <w:sz w:val="22"/>
          <w:szCs w:val="22"/>
          <w:u w:val="single"/>
        </w:rPr>
      </w:pPr>
      <w:r w:rsidRPr="00E91F6E">
        <w:rPr>
          <w:b/>
          <w:sz w:val="22"/>
          <w:szCs w:val="22"/>
          <w:u w:val="single"/>
        </w:rPr>
        <w:t>Sales Tax</w:t>
      </w:r>
    </w:p>
    <w:p w14:paraId="15B33DA8" w14:textId="77777777" w:rsidR="00E84679" w:rsidRPr="00E91F6E" w:rsidRDefault="00E84679" w:rsidP="000D3BEC">
      <w:pPr>
        <w:widowControl/>
        <w:ind w:left="720"/>
        <w:jc w:val="both"/>
        <w:rPr>
          <w:sz w:val="22"/>
        </w:rPr>
      </w:pPr>
    </w:p>
    <w:p w14:paraId="185104F0" w14:textId="0E658718" w:rsidR="007F63DB" w:rsidRPr="00E91F6E" w:rsidRDefault="00E84679" w:rsidP="000D3BEC">
      <w:pPr>
        <w:widowControl/>
        <w:ind w:left="720"/>
        <w:jc w:val="both"/>
        <w:rPr>
          <w:sz w:val="22"/>
        </w:rPr>
      </w:pPr>
      <w:r w:rsidRPr="00E91F6E">
        <w:rPr>
          <w:sz w:val="22"/>
        </w:rPr>
        <w:t xml:space="preserve">The voters of </w:t>
      </w:r>
      <w:r w:rsidR="006418A0" w:rsidRPr="00E91F6E">
        <w:rPr>
          <w:sz w:val="22"/>
          <w:highlight w:val="yellow"/>
        </w:rPr>
        <w:t>____________</w:t>
      </w:r>
      <w:r w:rsidRPr="00E91F6E">
        <w:rPr>
          <w:sz w:val="22"/>
        </w:rPr>
        <w:t xml:space="preserve"> County approved a permanent one-half percent (1/2%) sa</w:t>
      </w:r>
      <w:r w:rsidR="00144BD0" w:rsidRPr="00E91F6E">
        <w:rPr>
          <w:sz w:val="22"/>
        </w:rPr>
        <w:t>les tax effective August 17, 200</w:t>
      </w:r>
      <w:r w:rsidRPr="00E91F6E">
        <w:rPr>
          <w:sz w:val="22"/>
        </w:rPr>
        <w:t>1.  This sales tax was established to provide revenue for the maintenance of a solid waste system.</w:t>
      </w:r>
      <w:r w:rsidR="007F63DB" w:rsidRPr="00E91F6E">
        <w:rPr>
          <w:sz w:val="22"/>
        </w:rPr>
        <w:t xml:space="preserve"> </w:t>
      </w:r>
      <w:r w:rsidR="00144BD0" w:rsidRPr="00E91F6E">
        <w:rPr>
          <w:sz w:val="22"/>
        </w:rPr>
        <w:t xml:space="preserve"> </w:t>
      </w:r>
      <w:r w:rsidR="007F63DB" w:rsidRPr="00E91F6E">
        <w:rPr>
          <w:sz w:val="22"/>
        </w:rPr>
        <w:t>These funds are accounted for in the</w:t>
      </w:r>
      <w:r w:rsidR="00144BD0" w:rsidRPr="00E91F6E">
        <w:rPr>
          <w:sz w:val="22"/>
        </w:rPr>
        <w:t xml:space="preserve"> </w:t>
      </w:r>
      <w:r w:rsidR="00144BD0" w:rsidRPr="00E91F6E">
        <w:rPr>
          <w:sz w:val="22"/>
          <w:highlight w:val="yellow"/>
        </w:rPr>
        <w:t>____________</w:t>
      </w:r>
      <w:r w:rsidR="00144BD0" w:rsidRPr="00E91F6E">
        <w:rPr>
          <w:sz w:val="22"/>
        </w:rPr>
        <w:t xml:space="preserve"> </w:t>
      </w:r>
      <w:r w:rsidR="007F63DB" w:rsidRPr="00E91F6E">
        <w:rPr>
          <w:sz w:val="22"/>
        </w:rPr>
        <w:t>Fund.</w:t>
      </w:r>
    </w:p>
    <w:p w14:paraId="773739C9" w14:textId="77777777" w:rsidR="00E84679" w:rsidRPr="00E91F6E" w:rsidRDefault="00E84679" w:rsidP="000D3BEC">
      <w:pPr>
        <w:widowControl/>
        <w:ind w:left="720"/>
        <w:jc w:val="both"/>
        <w:rPr>
          <w:sz w:val="22"/>
        </w:rPr>
      </w:pPr>
    </w:p>
    <w:p w14:paraId="1CB0C29E" w14:textId="225F9336" w:rsidR="00E84679" w:rsidRPr="00E91F6E" w:rsidRDefault="00E84679" w:rsidP="000D3BEC">
      <w:pPr>
        <w:widowControl/>
        <w:ind w:left="720"/>
        <w:jc w:val="both"/>
        <w:rPr>
          <w:sz w:val="22"/>
        </w:rPr>
      </w:pPr>
      <w:r w:rsidRPr="00E91F6E">
        <w:rPr>
          <w:sz w:val="22"/>
        </w:rPr>
        <w:t xml:space="preserve">The voters of </w:t>
      </w:r>
      <w:r w:rsidR="003B03E5" w:rsidRPr="00E91F6E">
        <w:rPr>
          <w:sz w:val="22"/>
          <w:highlight w:val="yellow"/>
        </w:rPr>
        <w:t>______</w:t>
      </w:r>
      <w:r w:rsidRPr="00E91F6E">
        <w:rPr>
          <w:sz w:val="22"/>
        </w:rPr>
        <w:t xml:space="preserve"> County approved a three (3%) percent excise tax for </w:t>
      </w:r>
      <w:r w:rsidR="003B03E5" w:rsidRPr="00E91F6E">
        <w:rPr>
          <w:sz w:val="22"/>
          <w:highlight w:val="yellow"/>
        </w:rPr>
        <w:t>______</w:t>
      </w:r>
      <w:r w:rsidRPr="00E91F6E">
        <w:rPr>
          <w:sz w:val="22"/>
        </w:rPr>
        <w:t xml:space="preserve"> County Tourism Au</w:t>
      </w:r>
      <w:r w:rsidR="00144BD0" w:rsidRPr="00E91F6E">
        <w:rPr>
          <w:sz w:val="22"/>
        </w:rPr>
        <w:t>thority effective August 27, 201</w:t>
      </w:r>
      <w:r w:rsidRPr="00E91F6E">
        <w:rPr>
          <w:sz w:val="22"/>
        </w:rPr>
        <w:t xml:space="preserve">2, to be in effect for </w:t>
      </w:r>
      <w:r w:rsidR="003B03E5" w:rsidRPr="00E91F6E">
        <w:rPr>
          <w:sz w:val="22"/>
        </w:rPr>
        <w:t>twenty</w:t>
      </w:r>
      <w:r w:rsidRPr="00E91F6E">
        <w:rPr>
          <w:sz w:val="22"/>
        </w:rPr>
        <w:t xml:space="preserve"> years.  This excise tax is for promotion and development of tourism and recreational activities for </w:t>
      </w:r>
      <w:r w:rsidR="003B03E5" w:rsidRPr="00E91F6E">
        <w:rPr>
          <w:sz w:val="22"/>
          <w:highlight w:val="yellow"/>
        </w:rPr>
        <w:t>______</w:t>
      </w:r>
      <w:r w:rsidRPr="00E91F6E">
        <w:rPr>
          <w:sz w:val="22"/>
        </w:rPr>
        <w:t xml:space="preserve"> County.</w:t>
      </w:r>
      <w:r w:rsidR="00B525CA" w:rsidRPr="00E91F6E">
        <w:rPr>
          <w:sz w:val="22"/>
        </w:rPr>
        <w:t xml:space="preserve">  These funds are accounted for in the </w:t>
      </w:r>
      <w:r w:rsidR="00144BD0" w:rsidRPr="00E91F6E">
        <w:rPr>
          <w:sz w:val="22"/>
          <w:highlight w:val="yellow"/>
        </w:rPr>
        <w:t>______</w:t>
      </w:r>
      <w:r w:rsidR="00B525CA" w:rsidRPr="00E91F6E">
        <w:rPr>
          <w:sz w:val="22"/>
        </w:rPr>
        <w:t xml:space="preserve"> Fund.</w:t>
      </w:r>
    </w:p>
    <w:p w14:paraId="4426DEC5" w14:textId="29D68624" w:rsidR="00E84679" w:rsidRPr="00E91F6E" w:rsidRDefault="00E84679" w:rsidP="000D3BEC">
      <w:pPr>
        <w:widowControl/>
        <w:ind w:left="720"/>
        <w:jc w:val="both"/>
        <w:rPr>
          <w:sz w:val="22"/>
        </w:rPr>
      </w:pPr>
    </w:p>
    <w:p w14:paraId="6DBF2BB0" w14:textId="77777777" w:rsidR="00C11F65" w:rsidRPr="00E91F6E" w:rsidRDefault="00F553F2" w:rsidP="00F553F2">
      <w:pPr>
        <w:widowControl/>
        <w:ind w:left="720"/>
        <w:jc w:val="both"/>
        <w:rPr>
          <w:b/>
          <w:sz w:val="22"/>
          <w:szCs w:val="22"/>
          <w:highlight w:val="green"/>
        </w:rPr>
      </w:pPr>
      <w:r w:rsidRPr="00E91F6E">
        <w:rPr>
          <w:b/>
          <w:sz w:val="22"/>
          <w:szCs w:val="22"/>
          <w:highlight w:val="green"/>
        </w:rPr>
        <w:t>The tax abatements</w:t>
      </w:r>
      <w:r w:rsidR="0068020D" w:rsidRPr="00E91F6E">
        <w:rPr>
          <w:b/>
          <w:sz w:val="22"/>
          <w:szCs w:val="22"/>
          <w:highlight w:val="green"/>
        </w:rPr>
        <w:t xml:space="preserve"> disclosur</w:t>
      </w:r>
      <w:r w:rsidRPr="00E91F6E">
        <w:rPr>
          <w:b/>
          <w:sz w:val="22"/>
          <w:szCs w:val="22"/>
          <w:highlight w:val="green"/>
        </w:rPr>
        <w:t>e show</w:t>
      </w:r>
      <w:r w:rsidR="00F4746A" w:rsidRPr="00E91F6E">
        <w:rPr>
          <w:b/>
          <w:sz w:val="22"/>
          <w:szCs w:val="22"/>
          <w:highlight w:val="green"/>
        </w:rPr>
        <w:t>s</w:t>
      </w:r>
      <w:r w:rsidRPr="00E91F6E">
        <w:rPr>
          <w:b/>
          <w:sz w:val="22"/>
          <w:szCs w:val="22"/>
          <w:highlight w:val="green"/>
        </w:rPr>
        <w:t xml:space="preserve"> the total amount of </w:t>
      </w:r>
      <w:r w:rsidR="00F4746A" w:rsidRPr="00E91F6E">
        <w:rPr>
          <w:b/>
          <w:sz w:val="22"/>
          <w:szCs w:val="22"/>
          <w:highlight w:val="green"/>
        </w:rPr>
        <w:t>exemptions from tax revenue</w:t>
      </w:r>
      <w:r w:rsidRPr="00E91F6E">
        <w:rPr>
          <w:b/>
          <w:sz w:val="22"/>
          <w:szCs w:val="22"/>
          <w:highlight w:val="green"/>
        </w:rPr>
        <w:t xml:space="preserve"> for the </w:t>
      </w:r>
      <w:r w:rsidR="00F4746A" w:rsidRPr="00E91F6E">
        <w:rPr>
          <w:b/>
          <w:sz w:val="22"/>
          <w:szCs w:val="22"/>
          <w:highlight w:val="green"/>
        </w:rPr>
        <w:t xml:space="preserve">County in the fiscal year.  </w:t>
      </w:r>
      <w:hyperlink r:id="rId37" w:history="1">
        <w:r w:rsidRPr="00E91F6E">
          <w:rPr>
            <w:rStyle w:val="Hyperlink"/>
            <w:b/>
            <w:sz w:val="22"/>
            <w:szCs w:val="22"/>
            <w:highlight w:val="green"/>
          </w:rPr>
          <w:t>GASB 77</w:t>
        </w:r>
      </w:hyperlink>
      <w:r w:rsidRPr="00E91F6E">
        <w:rPr>
          <w:b/>
          <w:sz w:val="22"/>
          <w:szCs w:val="22"/>
          <w:highlight w:val="green"/>
        </w:rPr>
        <w:t xml:space="preserve"> requires disclosure of certain limitations on revenue-raising capacity resulting from government programs that use tax abatements.  Exempt manufacturing imposed by the State would q</w:t>
      </w:r>
      <w:r w:rsidR="00C11F65" w:rsidRPr="00E91F6E">
        <w:rPr>
          <w:b/>
          <w:sz w:val="22"/>
          <w:szCs w:val="22"/>
          <w:highlight w:val="green"/>
        </w:rPr>
        <w:t>ualify for GASB 77 disclosure.</w:t>
      </w:r>
    </w:p>
    <w:p w14:paraId="6F6FDB09" w14:textId="77777777" w:rsidR="00C11F65" w:rsidRPr="00E91F6E" w:rsidRDefault="00C11F65" w:rsidP="00C11F65">
      <w:pPr>
        <w:widowControl/>
        <w:ind w:left="720"/>
        <w:jc w:val="both"/>
        <w:rPr>
          <w:b/>
          <w:sz w:val="22"/>
          <w:szCs w:val="22"/>
          <w:highlight w:val="green"/>
        </w:rPr>
      </w:pPr>
    </w:p>
    <w:p w14:paraId="50D8D96A" w14:textId="01F1B4B9" w:rsidR="00C11F65" w:rsidRPr="00E91F6E" w:rsidRDefault="00C11F65" w:rsidP="00C11F65">
      <w:pPr>
        <w:widowControl/>
        <w:ind w:left="720"/>
        <w:jc w:val="both"/>
        <w:rPr>
          <w:b/>
          <w:sz w:val="22"/>
          <w:szCs w:val="22"/>
          <w:highlight w:val="green"/>
        </w:rPr>
      </w:pPr>
      <w:r w:rsidRPr="00E91F6E">
        <w:rPr>
          <w:b/>
          <w:sz w:val="22"/>
          <w:szCs w:val="22"/>
          <w:highlight w:val="green"/>
        </w:rPr>
        <w:t xml:space="preserve">Most Tax Increment Financing (“TIF”) districts do not meet the criteria for GASB 77 disclosure because they typically are a redirection of a tax.  If bonds are issued and the anticipated redevelopment will make payments in the future, GASB 77 </w:t>
      </w:r>
      <w:r w:rsidRPr="00E91F6E">
        <w:rPr>
          <w:b/>
          <w:sz w:val="22"/>
          <w:szCs w:val="22"/>
          <w:highlight w:val="green"/>
          <w:u w:val="single"/>
        </w:rPr>
        <w:t>is not applicable</w:t>
      </w:r>
      <w:r w:rsidRPr="00E91F6E">
        <w:rPr>
          <w:b/>
          <w:sz w:val="22"/>
          <w:szCs w:val="22"/>
          <w:highlight w:val="green"/>
        </w:rPr>
        <w:t xml:space="preserve">.  However, if the County and a developer enter into an agreement in which the developer </w:t>
      </w:r>
      <w:r w:rsidRPr="00E91F6E">
        <w:rPr>
          <w:b/>
          <w:sz w:val="22"/>
          <w:szCs w:val="22"/>
          <w:highlight w:val="green"/>
        </w:rPr>
        <w:lastRenderedPageBreak/>
        <w:t xml:space="preserve">incurs costs and the County will reimburse the developer for some costs as future increment from the increased property value related to the economic development is collected, GASB 77 </w:t>
      </w:r>
      <w:r w:rsidRPr="00E91F6E">
        <w:rPr>
          <w:b/>
          <w:sz w:val="22"/>
          <w:szCs w:val="22"/>
          <w:highlight w:val="green"/>
          <w:u w:val="single"/>
        </w:rPr>
        <w:t>is applicable</w:t>
      </w:r>
      <w:r w:rsidR="001B543B" w:rsidRPr="00E91F6E">
        <w:rPr>
          <w:b/>
          <w:sz w:val="22"/>
          <w:szCs w:val="22"/>
          <w:highlight w:val="green"/>
        </w:rPr>
        <w:t xml:space="preserve">.  In this rare instance it is recommended the County seek further guidance from their </w:t>
      </w:r>
      <w:r w:rsidR="004030C1" w:rsidRPr="00E91F6E">
        <w:rPr>
          <w:b/>
          <w:sz w:val="22"/>
          <w:szCs w:val="22"/>
          <w:highlight w:val="green"/>
        </w:rPr>
        <w:t>audit manager</w:t>
      </w:r>
      <w:r w:rsidR="001B543B" w:rsidRPr="00E91F6E">
        <w:rPr>
          <w:b/>
          <w:sz w:val="22"/>
          <w:szCs w:val="22"/>
          <w:highlight w:val="green"/>
        </w:rPr>
        <w:t xml:space="preserve"> at the State Auditor and Inspector’s Office</w:t>
      </w:r>
      <w:r w:rsidRPr="00E91F6E">
        <w:rPr>
          <w:b/>
          <w:sz w:val="22"/>
          <w:szCs w:val="22"/>
          <w:highlight w:val="green"/>
        </w:rPr>
        <w:t>.</w:t>
      </w:r>
    </w:p>
    <w:p w14:paraId="04BFD8BD" w14:textId="1F66FEE4" w:rsidR="00C11F65" w:rsidRPr="00E91F6E" w:rsidRDefault="00C11F65" w:rsidP="00F553F2">
      <w:pPr>
        <w:widowControl/>
        <w:ind w:left="720"/>
        <w:jc w:val="both"/>
        <w:rPr>
          <w:b/>
          <w:sz w:val="22"/>
          <w:szCs w:val="22"/>
          <w:highlight w:val="green"/>
        </w:rPr>
      </w:pPr>
    </w:p>
    <w:p w14:paraId="4D4D2E32" w14:textId="268C5298" w:rsidR="001B543B" w:rsidRPr="00E91F6E" w:rsidRDefault="001B543B" w:rsidP="00F553F2">
      <w:pPr>
        <w:widowControl/>
        <w:ind w:left="720"/>
        <w:jc w:val="both"/>
        <w:rPr>
          <w:b/>
          <w:sz w:val="22"/>
          <w:szCs w:val="22"/>
          <w:highlight w:val="green"/>
        </w:rPr>
      </w:pPr>
      <w:r w:rsidRPr="00E91F6E">
        <w:rPr>
          <w:b/>
          <w:sz w:val="22"/>
          <w:szCs w:val="22"/>
          <w:highlight w:val="green"/>
        </w:rPr>
        <w:t>If the County did not collect tax revenue in the fiscal year due to manufacturing exemptions, the total exemption (“abatement”) should be included in the disclosure below.  I</w:t>
      </w:r>
      <w:r w:rsidR="009F1611" w:rsidRPr="00E91F6E">
        <w:rPr>
          <w:b/>
          <w:sz w:val="22"/>
          <w:szCs w:val="22"/>
          <w:highlight w:val="green"/>
        </w:rPr>
        <w:t>f</w:t>
      </w:r>
      <w:r w:rsidRPr="00E91F6E">
        <w:rPr>
          <w:b/>
          <w:sz w:val="22"/>
          <w:szCs w:val="22"/>
          <w:highlight w:val="green"/>
        </w:rPr>
        <w:t xml:space="preserve"> the County had no exempt m</w:t>
      </w:r>
      <w:r w:rsidR="009F1611" w:rsidRPr="00E91F6E">
        <w:rPr>
          <w:b/>
          <w:sz w:val="22"/>
          <w:szCs w:val="22"/>
          <w:highlight w:val="green"/>
        </w:rPr>
        <w:t>anufacturing in the fiscal year</w:t>
      </w:r>
      <w:r w:rsidRPr="00E91F6E">
        <w:rPr>
          <w:b/>
          <w:sz w:val="22"/>
          <w:szCs w:val="22"/>
          <w:highlight w:val="green"/>
        </w:rPr>
        <w:t xml:space="preserve"> this disclosure should be removed.</w:t>
      </w:r>
    </w:p>
    <w:p w14:paraId="223D0E53" w14:textId="77777777" w:rsidR="009C2146" w:rsidRPr="00E91F6E" w:rsidRDefault="009C2146" w:rsidP="009C2146">
      <w:pPr>
        <w:pStyle w:val="ListParagraph"/>
        <w:numPr>
          <w:ilvl w:val="0"/>
          <w:numId w:val="11"/>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6720"/>
        </w:tabs>
        <w:jc w:val="both"/>
        <w:rPr>
          <w:b/>
          <w:sz w:val="22"/>
          <w:szCs w:val="22"/>
          <w:u w:val="single"/>
        </w:rPr>
      </w:pPr>
      <w:r w:rsidRPr="00E91F6E">
        <w:rPr>
          <w:b/>
          <w:sz w:val="22"/>
          <w:szCs w:val="22"/>
          <w:u w:val="single"/>
        </w:rPr>
        <w:t>Tax Abatements</w:t>
      </w:r>
    </w:p>
    <w:p w14:paraId="59C42697" w14:textId="77777777" w:rsidR="009C2146" w:rsidRPr="00E91F6E" w:rsidRDefault="009C2146" w:rsidP="009C2146">
      <w:pPr>
        <w:widowControl/>
        <w:ind w:left="720"/>
        <w:jc w:val="both"/>
        <w:rPr>
          <w:sz w:val="22"/>
        </w:rPr>
      </w:pPr>
    </w:p>
    <w:p w14:paraId="550966E4" w14:textId="77777777" w:rsidR="009C2146" w:rsidRPr="00E91F6E" w:rsidRDefault="009C2146" w:rsidP="009C2146">
      <w:pPr>
        <w:widowControl/>
        <w:ind w:left="720"/>
        <w:jc w:val="both"/>
        <w:rPr>
          <w:sz w:val="22"/>
        </w:rPr>
      </w:pPr>
      <w:r w:rsidRPr="00E91F6E">
        <w:rPr>
          <w:sz w:val="22"/>
        </w:rPr>
        <w:t>The County is subject to ad valorem tax abatements granted by the State of Oklahoma in accordance with the Oklahoma Constitution, Article 10 Section 6B for qualifying manufacturing concern—ad valorem tax exemption.</w:t>
      </w:r>
    </w:p>
    <w:p w14:paraId="64BD1237" w14:textId="77777777" w:rsidR="009C2146" w:rsidRPr="00E91F6E" w:rsidRDefault="009C2146" w:rsidP="009C2146">
      <w:pPr>
        <w:widowControl/>
        <w:ind w:left="720"/>
        <w:jc w:val="both"/>
        <w:rPr>
          <w:sz w:val="22"/>
        </w:rPr>
      </w:pPr>
    </w:p>
    <w:p w14:paraId="4470BC92" w14:textId="10A30649" w:rsidR="009C2146" w:rsidRPr="00E91F6E" w:rsidRDefault="009C2146" w:rsidP="009C2146">
      <w:pPr>
        <w:widowControl/>
        <w:ind w:left="720"/>
        <w:jc w:val="both"/>
        <w:rPr>
          <w:sz w:val="22"/>
        </w:rPr>
      </w:pPr>
      <w:r w:rsidRPr="00E91F6E">
        <w:rPr>
          <w:sz w:val="22"/>
        </w:rPr>
        <w:t xml:space="preserve">Under this program, a five-year ad valorem tax exemption exempts all real and personal property that is necessary for the manufacturing of a product and facilities engaged in research and development which meet the requirements set by the Oklahoma Constitution and statutes.  Under </w:t>
      </w:r>
      <w:hyperlink r:id="rId38" w:history="1">
        <w:r w:rsidRPr="00E91F6E">
          <w:rPr>
            <w:rStyle w:val="Hyperlink"/>
            <w:sz w:val="22"/>
          </w:rPr>
          <w:t xml:space="preserve">Title 68 O.S. </w:t>
        </w:r>
        <w:r w:rsidRPr="00E91F6E">
          <w:rPr>
            <w:rStyle w:val="Hyperlink"/>
            <w:sz w:val="22"/>
            <w:szCs w:val="22"/>
          </w:rPr>
          <w:t>§</w:t>
        </w:r>
        <w:r w:rsidRPr="00E91F6E">
          <w:rPr>
            <w:rStyle w:val="Hyperlink"/>
            <w:sz w:val="22"/>
          </w:rPr>
          <w:t xml:space="preserve"> 2902</w:t>
        </w:r>
      </w:hyperlink>
      <w:r w:rsidRPr="00E91F6E">
        <w:rPr>
          <w:sz w:val="22"/>
        </w:rPr>
        <w:t>, in exchange for the five-year exemption, qualifying manufacturing concerns must meet certain minimum investment requirements for construction, acquisition, or expansion of a manufacturing facility.  In addition, there are general minimum payroll requirements that must be met and the qualifying manufacturing concern must offer basic health benefit plans to all full-time employees within 180 days of employment.</w:t>
      </w:r>
    </w:p>
    <w:p w14:paraId="33FEF8CB" w14:textId="77777777" w:rsidR="009C2146" w:rsidRPr="00E91F6E" w:rsidRDefault="009C2146" w:rsidP="009C2146">
      <w:pPr>
        <w:widowControl/>
        <w:ind w:left="720"/>
        <w:jc w:val="both"/>
        <w:rPr>
          <w:sz w:val="22"/>
        </w:rPr>
      </w:pPr>
    </w:p>
    <w:p w14:paraId="579B4FB9" w14:textId="77777777" w:rsidR="009C2146" w:rsidRPr="00E91F6E" w:rsidRDefault="009C2146" w:rsidP="009C2146">
      <w:pPr>
        <w:widowControl/>
        <w:ind w:left="720"/>
        <w:jc w:val="both"/>
        <w:rPr>
          <w:sz w:val="22"/>
        </w:rPr>
      </w:pPr>
      <w:r w:rsidRPr="00E91F6E">
        <w:rPr>
          <w:sz w:val="22"/>
        </w:rPr>
        <w:t>The County had $</w:t>
      </w:r>
      <w:r w:rsidRPr="00E91F6E">
        <w:rPr>
          <w:sz w:val="22"/>
          <w:highlight w:val="yellow"/>
        </w:rPr>
        <w:t>_______</w:t>
      </w:r>
      <w:r w:rsidRPr="00E91F6E">
        <w:rPr>
          <w:sz w:val="22"/>
        </w:rPr>
        <w:t xml:space="preserve"> of ad valorem taxes abated under this program for the fiscal year ended June 30, 20</w:t>
      </w:r>
      <w:r w:rsidRPr="00E91F6E">
        <w:rPr>
          <w:sz w:val="22"/>
          <w:highlight w:val="yellow"/>
        </w:rPr>
        <w:t>__</w:t>
      </w:r>
      <w:r w:rsidRPr="00E91F6E">
        <w:rPr>
          <w:sz w:val="22"/>
        </w:rPr>
        <w:t>.</w:t>
      </w:r>
    </w:p>
    <w:p w14:paraId="7C4E4D16" w14:textId="77777777" w:rsidR="009C2146" w:rsidRPr="00E91F6E" w:rsidRDefault="009C2146" w:rsidP="009C2146">
      <w:pPr>
        <w:widowControl/>
        <w:ind w:left="720"/>
        <w:jc w:val="both"/>
        <w:rPr>
          <w:sz w:val="22"/>
        </w:rPr>
      </w:pPr>
    </w:p>
    <w:p w14:paraId="62F03FDF" w14:textId="35303E8F" w:rsidR="009C2146" w:rsidRPr="00E91F6E" w:rsidRDefault="009C2146" w:rsidP="009C2146">
      <w:pPr>
        <w:widowControl/>
        <w:ind w:left="720"/>
        <w:jc w:val="both"/>
        <w:rPr>
          <w:sz w:val="22"/>
          <w:highlight w:val="yellow"/>
        </w:rPr>
      </w:pPr>
      <w:r w:rsidRPr="00E91F6E">
        <w:rPr>
          <w:sz w:val="22"/>
        </w:rPr>
        <w:t xml:space="preserve">The State has an Ad Valorem Reimbursement Fund in accordance with </w:t>
      </w:r>
      <w:hyperlink r:id="rId39" w:history="1">
        <w:r w:rsidRPr="00E91F6E">
          <w:rPr>
            <w:rStyle w:val="Hyperlink"/>
            <w:sz w:val="22"/>
          </w:rPr>
          <w:t xml:space="preserve">Title 62 O.S. </w:t>
        </w:r>
        <w:r w:rsidRPr="00E91F6E">
          <w:rPr>
            <w:rStyle w:val="Hyperlink"/>
            <w:sz w:val="22"/>
            <w:szCs w:val="22"/>
          </w:rPr>
          <w:t>§</w:t>
        </w:r>
        <w:r w:rsidRPr="00E91F6E">
          <w:rPr>
            <w:rStyle w:val="Hyperlink"/>
            <w:sz w:val="22"/>
          </w:rPr>
          <w:t xml:space="preserve"> 193</w:t>
        </w:r>
      </w:hyperlink>
      <w:r w:rsidRPr="00E91F6E">
        <w:rPr>
          <w:sz w:val="22"/>
        </w:rPr>
        <w:t xml:space="preserve"> that is used to reimburse the County for the loss of revenue.  Monies apportioned to this fund by the State also may be transferred to other state funds or otherwise expended as directed by the Legislature.  In the event monies apportioned to the Fund are insufficient to pay all claims for reimbursement, claims for reimbursement for loss of revenue due to manufacturing exemptions of ad valorem taxes shall be paid first, and any remaining funds shall be distributed proportionally among the counties making claims for reimbursement for loss of revenue for school district exemptions.</w:t>
      </w:r>
    </w:p>
    <w:p w14:paraId="35CF4A05" w14:textId="2B22F0FE" w:rsidR="00092C39" w:rsidRPr="00E91F6E" w:rsidRDefault="00092C39" w:rsidP="000D3BEC">
      <w:pPr>
        <w:widowControl/>
        <w:ind w:left="720"/>
        <w:jc w:val="both"/>
        <w:rPr>
          <w:sz w:val="22"/>
          <w:highlight w:val="yellow"/>
        </w:rPr>
      </w:pPr>
    </w:p>
    <w:p w14:paraId="76841085" w14:textId="798CE78E" w:rsidR="00B25EE0" w:rsidRPr="00E91F6E" w:rsidRDefault="0068020D" w:rsidP="000D3BEC">
      <w:pPr>
        <w:widowControl/>
        <w:ind w:left="720"/>
        <w:jc w:val="both"/>
        <w:rPr>
          <w:sz w:val="22"/>
          <w:highlight w:val="yellow"/>
        </w:rPr>
      </w:pPr>
      <w:r w:rsidRPr="00E91F6E">
        <w:rPr>
          <w:b/>
          <w:sz w:val="22"/>
          <w:szCs w:val="22"/>
          <w:highlight w:val="green"/>
        </w:rPr>
        <w:t xml:space="preserve">The </w:t>
      </w:r>
      <w:r w:rsidR="001B543B" w:rsidRPr="00E91F6E">
        <w:rPr>
          <w:b/>
          <w:sz w:val="22"/>
          <w:szCs w:val="22"/>
          <w:highlight w:val="green"/>
        </w:rPr>
        <w:t>interfund transfers</w:t>
      </w:r>
      <w:r w:rsidRPr="00E91F6E">
        <w:rPr>
          <w:b/>
          <w:sz w:val="22"/>
          <w:szCs w:val="22"/>
          <w:highlight w:val="green"/>
        </w:rPr>
        <w:t xml:space="preserve"> disclosur</w:t>
      </w:r>
      <w:r w:rsidR="001B543B" w:rsidRPr="00E91F6E">
        <w:rPr>
          <w:b/>
          <w:sz w:val="22"/>
          <w:szCs w:val="22"/>
          <w:highlight w:val="green"/>
        </w:rPr>
        <w:t xml:space="preserve">e lists each of the transfers that were included in </w:t>
      </w:r>
      <w:r w:rsidR="00D9668C" w:rsidRPr="00E91F6E">
        <w:rPr>
          <w:b/>
          <w:sz w:val="22"/>
          <w:szCs w:val="22"/>
          <w:highlight w:val="green"/>
        </w:rPr>
        <w:t xml:space="preserve">the financial statement on page 7 </w:t>
      </w:r>
      <w:r w:rsidR="001B543B" w:rsidRPr="00E91F6E">
        <w:rPr>
          <w:b/>
          <w:sz w:val="22"/>
          <w:szCs w:val="22"/>
          <w:highlight w:val="green"/>
        </w:rPr>
        <w:t>and describes the funds the transfer was made to and from, and the purpose of the transfer</w:t>
      </w:r>
      <w:r w:rsidR="009F1611" w:rsidRPr="00E91F6E">
        <w:rPr>
          <w:b/>
          <w:sz w:val="22"/>
          <w:szCs w:val="22"/>
          <w:highlight w:val="green"/>
        </w:rPr>
        <w:t>.  If no transfers were made during the fiscal year reported this disclosure should be removed</w:t>
      </w:r>
      <w:r w:rsidR="001B543B" w:rsidRPr="00E91F6E">
        <w:rPr>
          <w:b/>
          <w:sz w:val="22"/>
          <w:szCs w:val="22"/>
          <w:highlight w:val="green"/>
        </w:rPr>
        <w:t>.</w:t>
      </w:r>
    </w:p>
    <w:p w14:paraId="6C576CE4" w14:textId="77777777" w:rsidR="00E84679" w:rsidRPr="00E91F6E" w:rsidRDefault="00E84679" w:rsidP="000D3BEC">
      <w:pPr>
        <w:pStyle w:val="ListParagraph"/>
        <w:numPr>
          <w:ilvl w:val="0"/>
          <w:numId w:val="11"/>
        </w:numPr>
        <w:jc w:val="both"/>
        <w:rPr>
          <w:b/>
          <w:sz w:val="22"/>
          <w:u w:val="single"/>
        </w:rPr>
      </w:pPr>
      <w:r w:rsidRPr="00E91F6E">
        <w:rPr>
          <w:b/>
          <w:sz w:val="22"/>
          <w:u w:val="single"/>
        </w:rPr>
        <w:t>Interfund Transfers</w:t>
      </w:r>
    </w:p>
    <w:p w14:paraId="70F9672D" w14:textId="77777777" w:rsidR="00092C39" w:rsidRPr="00E91F6E" w:rsidRDefault="00092C39" w:rsidP="00092C39">
      <w:pPr>
        <w:pStyle w:val="ListParagraph"/>
        <w:ind w:left="1080"/>
        <w:jc w:val="both"/>
        <w:rPr>
          <w:b/>
          <w:sz w:val="22"/>
          <w:u w:val="single"/>
        </w:rPr>
      </w:pPr>
    </w:p>
    <w:p w14:paraId="2AF82F65" w14:textId="090F4562" w:rsidR="00E84679" w:rsidRPr="00E91F6E" w:rsidRDefault="00E84679" w:rsidP="000D3BEC">
      <w:pPr>
        <w:widowControl/>
        <w:ind w:left="720"/>
        <w:jc w:val="both"/>
        <w:rPr>
          <w:sz w:val="22"/>
        </w:rPr>
      </w:pPr>
      <w:r w:rsidRPr="00E91F6E">
        <w:rPr>
          <w:sz w:val="22"/>
        </w:rPr>
        <w:t>During the fiscal year, the County made the followi</w:t>
      </w:r>
      <w:r w:rsidR="00CD06A9" w:rsidRPr="00E91F6E">
        <w:rPr>
          <w:sz w:val="22"/>
        </w:rPr>
        <w:t>ng transfers between cash funds:</w:t>
      </w:r>
    </w:p>
    <w:p w14:paraId="6FAFF64F" w14:textId="708F8F3F" w:rsidR="00FD2381" w:rsidRPr="00E91F6E" w:rsidRDefault="00FD2381" w:rsidP="000D3BEC">
      <w:pPr>
        <w:widowControl/>
        <w:numPr>
          <w:ilvl w:val="0"/>
          <w:numId w:val="14"/>
        </w:numPr>
        <w:jc w:val="both"/>
        <w:rPr>
          <w:sz w:val="22"/>
        </w:rPr>
      </w:pPr>
      <w:r w:rsidRPr="00E91F6E">
        <w:rPr>
          <w:sz w:val="22"/>
        </w:rPr>
        <w:lastRenderedPageBreak/>
        <w:t>$200,000 was transferred from the General Fund to the T-Highway Fund for road improvements.  During the fiscal year, the T-Highway Fund repaid the loan.</w:t>
      </w:r>
    </w:p>
    <w:p w14:paraId="4E589A30" w14:textId="1A2E6455" w:rsidR="00FD2381" w:rsidRPr="00E91F6E" w:rsidRDefault="00FD2381" w:rsidP="000D3BEC">
      <w:pPr>
        <w:widowControl/>
        <w:numPr>
          <w:ilvl w:val="0"/>
          <w:numId w:val="14"/>
        </w:numPr>
        <w:jc w:val="both"/>
        <w:rPr>
          <w:sz w:val="22"/>
        </w:rPr>
      </w:pPr>
      <w:r w:rsidRPr="00E91F6E">
        <w:rPr>
          <w:sz w:val="22"/>
        </w:rPr>
        <w:t>$50,000 was transferred from the General Fund to the Sales Tax Fund for Courthouse improvements.</w:t>
      </w:r>
    </w:p>
    <w:p w14:paraId="583A0D0F" w14:textId="15637979" w:rsidR="00E84679" w:rsidRPr="00E91F6E" w:rsidRDefault="00FD2381" w:rsidP="00FD2381">
      <w:pPr>
        <w:widowControl/>
        <w:numPr>
          <w:ilvl w:val="0"/>
          <w:numId w:val="14"/>
        </w:numPr>
        <w:jc w:val="both"/>
        <w:rPr>
          <w:sz w:val="22"/>
        </w:rPr>
      </w:pPr>
      <w:r w:rsidRPr="00E91F6E">
        <w:rPr>
          <w:sz w:val="22"/>
        </w:rPr>
        <w:t xml:space="preserve">$15,000 was transferred from the Department of Corrections Fund to the </w:t>
      </w:r>
      <w:r w:rsidR="00E84679" w:rsidRPr="00E91F6E">
        <w:rPr>
          <w:sz w:val="22"/>
        </w:rPr>
        <w:t xml:space="preserve">County Jail Trust Fund (a Trust </w:t>
      </w:r>
      <w:r w:rsidRPr="00E91F6E">
        <w:rPr>
          <w:sz w:val="22"/>
        </w:rPr>
        <w:t>and</w:t>
      </w:r>
      <w:r w:rsidR="00E84679" w:rsidRPr="00E91F6E">
        <w:rPr>
          <w:sz w:val="22"/>
        </w:rPr>
        <w:t xml:space="preserve"> Agency Fund) for the payment of supervisory services for inmate crews.</w:t>
      </w:r>
    </w:p>
    <w:p w14:paraId="4613E4CC" w14:textId="544284CA" w:rsidR="00E84679" w:rsidRPr="00E91F6E" w:rsidRDefault="00E84679" w:rsidP="000D3BEC">
      <w:pPr>
        <w:widowControl/>
        <w:ind w:left="720"/>
        <w:jc w:val="both"/>
        <w:rPr>
          <w:b/>
          <w:sz w:val="22"/>
        </w:rPr>
      </w:pPr>
    </w:p>
    <w:p w14:paraId="16ED0BF5" w14:textId="5BA81102" w:rsidR="00B25EE0" w:rsidRPr="00E91F6E" w:rsidRDefault="0068020D" w:rsidP="000D3BEC">
      <w:pPr>
        <w:widowControl/>
        <w:ind w:left="720"/>
        <w:jc w:val="both"/>
        <w:rPr>
          <w:b/>
          <w:sz w:val="22"/>
          <w:highlight w:val="yellow"/>
        </w:rPr>
      </w:pPr>
      <w:r w:rsidRPr="00E91F6E">
        <w:rPr>
          <w:b/>
          <w:sz w:val="22"/>
          <w:szCs w:val="22"/>
          <w:highlight w:val="green"/>
        </w:rPr>
        <w:t xml:space="preserve">The </w:t>
      </w:r>
      <w:r w:rsidR="001B543B" w:rsidRPr="00E91F6E">
        <w:rPr>
          <w:b/>
          <w:sz w:val="22"/>
          <w:szCs w:val="22"/>
          <w:highlight w:val="green"/>
        </w:rPr>
        <w:t>special items</w:t>
      </w:r>
      <w:r w:rsidRPr="00E91F6E">
        <w:rPr>
          <w:b/>
          <w:sz w:val="22"/>
          <w:szCs w:val="22"/>
          <w:highlight w:val="green"/>
        </w:rPr>
        <w:t xml:space="preserve"> disclosur</w:t>
      </w:r>
      <w:r w:rsidR="001B543B" w:rsidRPr="00E91F6E">
        <w:rPr>
          <w:b/>
          <w:sz w:val="22"/>
          <w:szCs w:val="22"/>
          <w:highlight w:val="green"/>
        </w:rPr>
        <w:t>e includes additional information that may be material or misleading to the readers of the financial statement if it were excluded.  If the County or subdivisions within the County has undergone a special, investigative, or performance audit outside the scope of a standard annual financial audit, the details of that engagement should be disclosed</w:t>
      </w:r>
      <w:r w:rsidR="002C7FC2" w:rsidRPr="00E91F6E">
        <w:rPr>
          <w:b/>
          <w:sz w:val="22"/>
          <w:szCs w:val="22"/>
          <w:highlight w:val="green"/>
        </w:rPr>
        <w:t>.  It may be necessary to consult with the auditors or specialists that were engaged to determine what information should be disclosed</w:t>
      </w:r>
      <w:r w:rsidR="001B543B" w:rsidRPr="00E91F6E">
        <w:rPr>
          <w:b/>
          <w:sz w:val="22"/>
          <w:szCs w:val="22"/>
          <w:highlight w:val="green"/>
        </w:rPr>
        <w:t xml:space="preserve">.  </w:t>
      </w:r>
      <w:r w:rsidR="009F1611" w:rsidRPr="00E91F6E">
        <w:rPr>
          <w:b/>
          <w:sz w:val="22"/>
          <w:szCs w:val="22"/>
          <w:highlight w:val="green"/>
        </w:rPr>
        <w:t>If no special items are present</w:t>
      </w:r>
      <w:r w:rsidR="001B543B" w:rsidRPr="00E91F6E">
        <w:rPr>
          <w:b/>
          <w:sz w:val="22"/>
          <w:szCs w:val="22"/>
          <w:highlight w:val="green"/>
        </w:rPr>
        <w:t xml:space="preserve"> this disclosure should be removed.</w:t>
      </w:r>
    </w:p>
    <w:p w14:paraId="043D329D" w14:textId="77777777" w:rsidR="00E84679" w:rsidRPr="00E91F6E" w:rsidRDefault="00E84679" w:rsidP="000D3BEC">
      <w:pPr>
        <w:pStyle w:val="ListParagraph"/>
        <w:numPr>
          <w:ilvl w:val="0"/>
          <w:numId w:val="11"/>
        </w:numPr>
        <w:jc w:val="both"/>
        <w:rPr>
          <w:b/>
          <w:sz w:val="22"/>
          <w:u w:val="single"/>
        </w:rPr>
      </w:pPr>
      <w:r w:rsidRPr="00E91F6E">
        <w:rPr>
          <w:b/>
          <w:sz w:val="22"/>
          <w:u w:val="single"/>
        </w:rPr>
        <w:t>Special Items</w:t>
      </w:r>
    </w:p>
    <w:p w14:paraId="3ACB75F8" w14:textId="77777777" w:rsidR="00E84679" w:rsidRPr="00E91F6E" w:rsidRDefault="00E84679" w:rsidP="008425D9">
      <w:pPr>
        <w:pStyle w:val="ListParagraph"/>
        <w:jc w:val="both"/>
        <w:rPr>
          <w:b/>
          <w:sz w:val="22"/>
        </w:rPr>
      </w:pPr>
    </w:p>
    <w:p w14:paraId="2A798921" w14:textId="77777777" w:rsidR="00E84679" w:rsidRPr="00E91F6E" w:rsidRDefault="00E84679" w:rsidP="008425D9">
      <w:pPr>
        <w:pStyle w:val="ListParagraph"/>
        <w:jc w:val="both"/>
        <w:rPr>
          <w:b/>
          <w:sz w:val="22"/>
        </w:rPr>
      </w:pPr>
      <w:r w:rsidRPr="00E91F6E">
        <w:rPr>
          <w:b/>
          <w:sz w:val="22"/>
        </w:rPr>
        <w:t>Investigative Audit</w:t>
      </w:r>
    </w:p>
    <w:p w14:paraId="138E8F42" w14:textId="77777777" w:rsidR="00E84679" w:rsidRPr="00E91F6E" w:rsidRDefault="00E84679" w:rsidP="008425D9">
      <w:pPr>
        <w:pStyle w:val="ListParagraph"/>
        <w:jc w:val="both"/>
        <w:rPr>
          <w:sz w:val="22"/>
        </w:rPr>
      </w:pPr>
    </w:p>
    <w:p w14:paraId="5F1A8967" w14:textId="1112D2FA" w:rsidR="00E84679" w:rsidRPr="00E91F6E" w:rsidRDefault="00E84679" w:rsidP="008425D9">
      <w:pPr>
        <w:pStyle w:val="ListParagraph"/>
        <w:jc w:val="both"/>
        <w:rPr>
          <w:sz w:val="22"/>
        </w:rPr>
      </w:pPr>
      <w:r w:rsidRPr="00E91F6E">
        <w:rPr>
          <w:sz w:val="22"/>
        </w:rPr>
        <w:t>The State Auditor and Inspector’s Office conducted a special investigative audit concerning the Assessor’s financial records</w:t>
      </w:r>
      <w:r w:rsidR="002C7FC2" w:rsidRPr="00E91F6E">
        <w:rPr>
          <w:sz w:val="22"/>
        </w:rPr>
        <w:t xml:space="preserve"> for the period of July 1, 2014 through September 26, 2018</w:t>
      </w:r>
      <w:r w:rsidRPr="00E91F6E">
        <w:rPr>
          <w:sz w:val="22"/>
        </w:rPr>
        <w:t>.  It was noted, that the County Assessor did not deposit into the County General Fund all monies received.  It was determined that $79,302.67 of County funds was not deposited by the County Assessor.  Of this amoun</w:t>
      </w:r>
      <w:r w:rsidR="002C7FC2" w:rsidRPr="00E91F6E">
        <w:rPr>
          <w:sz w:val="22"/>
        </w:rPr>
        <w:t>t, $79,298.67 has been repaid.</w:t>
      </w:r>
    </w:p>
    <w:p w14:paraId="181617A0" w14:textId="09029A3D" w:rsidR="00E84679" w:rsidRPr="00E91F6E" w:rsidRDefault="00E84679" w:rsidP="000D3BEC">
      <w:pPr>
        <w:widowControl/>
        <w:jc w:val="both"/>
        <w:rPr>
          <w:b/>
          <w:sz w:val="22"/>
        </w:rPr>
      </w:pPr>
    </w:p>
    <w:p w14:paraId="43E3C00C" w14:textId="3151B1EA" w:rsidR="00B25EE0" w:rsidRPr="00E91F6E" w:rsidRDefault="0068020D" w:rsidP="00B25EE0">
      <w:pPr>
        <w:widowControl/>
        <w:ind w:left="720"/>
        <w:jc w:val="both"/>
        <w:rPr>
          <w:b/>
          <w:sz w:val="22"/>
          <w:highlight w:val="yellow"/>
        </w:rPr>
      </w:pPr>
      <w:r w:rsidRPr="00E91F6E">
        <w:rPr>
          <w:b/>
          <w:sz w:val="22"/>
          <w:szCs w:val="22"/>
          <w:highlight w:val="green"/>
        </w:rPr>
        <w:t xml:space="preserve">The </w:t>
      </w:r>
      <w:r w:rsidR="001B543B" w:rsidRPr="00E91F6E">
        <w:rPr>
          <w:b/>
          <w:sz w:val="22"/>
          <w:szCs w:val="22"/>
          <w:highlight w:val="green"/>
        </w:rPr>
        <w:t>subsequent events</w:t>
      </w:r>
      <w:r w:rsidRPr="00E91F6E">
        <w:rPr>
          <w:b/>
          <w:sz w:val="22"/>
          <w:szCs w:val="22"/>
          <w:highlight w:val="green"/>
        </w:rPr>
        <w:t xml:space="preserve"> disclosur</w:t>
      </w:r>
      <w:r w:rsidR="001B543B" w:rsidRPr="00E91F6E">
        <w:rPr>
          <w:b/>
          <w:sz w:val="22"/>
          <w:szCs w:val="22"/>
          <w:highlight w:val="green"/>
        </w:rPr>
        <w:t>e includes events that took place after the fiscal year reported that would have a material impact on the financial integrity, structure, or operations of the County, such that it would be materially misleading to the readers of the financial statement if the disclosure were excluded.  The most common subsequent event disclosure is the passage of a new sales tax that will become effective after the fiscal year reported.  If no such subsequent e</w:t>
      </w:r>
      <w:r w:rsidR="007E6741" w:rsidRPr="00E91F6E">
        <w:rPr>
          <w:b/>
          <w:sz w:val="22"/>
          <w:szCs w:val="22"/>
          <w:highlight w:val="green"/>
        </w:rPr>
        <w:t>vents have occurred</w:t>
      </w:r>
      <w:r w:rsidR="001B543B" w:rsidRPr="00E91F6E">
        <w:rPr>
          <w:b/>
          <w:sz w:val="22"/>
          <w:szCs w:val="22"/>
          <w:highlight w:val="green"/>
        </w:rPr>
        <w:t xml:space="preserve"> this disclosure should be removed.</w:t>
      </w:r>
    </w:p>
    <w:p w14:paraId="22951B7C" w14:textId="77777777" w:rsidR="00E84679" w:rsidRPr="00E91F6E" w:rsidRDefault="00E84679" w:rsidP="000D3BEC">
      <w:pPr>
        <w:pStyle w:val="ListParagraph"/>
        <w:numPr>
          <w:ilvl w:val="0"/>
          <w:numId w:val="11"/>
        </w:numPr>
        <w:jc w:val="both"/>
        <w:rPr>
          <w:b/>
          <w:sz w:val="22"/>
          <w:u w:val="single"/>
        </w:rPr>
      </w:pPr>
      <w:r w:rsidRPr="00E91F6E">
        <w:rPr>
          <w:b/>
          <w:sz w:val="22"/>
          <w:u w:val="single"/>
        </w:rPr>
        <w:t>Subsequent Events</w:t>
      </w:r>
    </w:p>
    <w:p w14:paraId="4D4C2D07" w14:textId="4AD175FE" w:rsidR="00FF28C5" w:rsidRPr="00E91F6E" w:rsidRDefault="00C62F73" w:rsidP="000D3BEC">
      <w:pPr>
        <w:widowControl/>
        <w:ind w:left="720"/>
        <w:jc w:val="both"/>
        <w:rPr>
          <w:sz w:val="22"/>
        </w:rPr>
      </w:pPr>
      <w:r w:rsidRPr="00E91F6E">
        <w:rPr>
          <w:sz w:val="22"/>
        </w:rPr>
        <w:t xml:space="preserve">The voters of </w:t>
      </w:r>
      <w:r w:rsidRPr="00E91F6E">
        <w:rPr>
          <w:sz w:val="22"/>
          <w:highlight w:val="yellow"/>
        </w:rPr>
        <w:t>______</w:t>
      </w:r>
      <w:r w:rsidRPr="00E91F6E">
        <w:rPr>
          <w:sz w:val="22"/>
        </w:rPr>
        <w:t xml:space="preserve"> County approved a three</w:t>
      </w:r>
      <w:r w:rsidR="00781729" w:rsidRPr="00E91F6E">
        <w:rPr>
          <w:sz w:val="22"/>
        </w:rPr>
        <w:t>-quarters</w:t>
      </w:r>
      <w:r w:rsidRPr="00E91F6E">
        <w:rPr>
          <w:sz w:val="22"/>
        </w:rPr>
        <w:t xml:space="preserve"> (</w:t>
      </w:r>
      <w:r w:rsidR="00781729" w:rsidRPr="00E91F6E">
        <w:rPr>
          <w:sz w:val="22"/>
        </w:rPr>
        <w:t>0.75</w:t>
      </w:r>
      <w:r w:rsidRPr="00E91F6E">
        <w:rPr>
          <w:sz w:val="22"/>
        </w:rPr>
        <w:t xml:space="preserve">%) percent </w:t>
      </w:r>
      <w:r w:rsidR="00781729" w:rsidRPr="00E91F6E">
        <w:rPr>
          <w:sz w:val="22"/>
        </w:rPr>
        <w:t>sales</w:t>
      </w:r>
      <w:r w:rsidRPr="00E91F6E">
        <w:rPr>
          <w:sz w:val="22"/>
        </w:rPr>
        <w:t xml:space="preserve"> tax for </w:t>
      </w:r>
      <w:r w:rsidR="00781729" w:rsidRPr="00E91F6E">
        <w:rPr>
          <w:sz w:val="22"/>
        </w:rPr>
        <w:t xml:space="preserve">the renovation of the County Courthouse </w:t>
      </w:r>
      <w:r w:rsidRPr="00E91F6E">
        <w:rPr>
          <w:sz w:val="22"/>
        </w:rPr>
        <w:t>ef</w:t>
      </w:r>
      <w:r w:rsidR="00781729" w:rsidRPr="00E91F6E">
        <w:rPr>
          <w:sz w:val="22"/>
        </w:rPr>
        <w:t>fective August 28</w:t>
      </w:r>
      <w:r w:rsidRPr="00E91F6E">
        <w:rPr>
          <w:sz w:val="22"/>
        </w:rPr>
        <w:t>, 201</w:t>
      </w:r>
      <w:r w:rsidR="00781729" w:rsidRPr="00E91F6E">
        <w:rPr>
          <w:sz w:val="22"/>
        </w:rPr>
        <w:t>9</w:t>
      </w:r>
      <w:r w:rsidRPr="00E91F6E">
        <w:rPr>
          <w:sz w:val="22"/>
        </w:rPr>
        <w:t xml:space="preserve">, to be in effect for </w:t>
      </w:r>
      <w:r w:rsidR="00781729" w:rsidRPr="00E91F6E">
        <w:rPr>
          <w:sz w:val="22"/>
        </w:rPr>
        <w:t>seven years</w:t>
      </w:r>
      <w:r w:rsidRPr="00E91F6E">
        <w:rPr>
          <w:sz w:val="22"/>
        </w:rPr>
        <w:t xml:space="preserve">.  These funds are accounted for in the </w:t>
      </w:r>
      <w:r w:rsidRPr="00E91F6E">
        <w:rPr>
          <w:sz w:val="22"/>
          <w:highlight w:val="yellow"/>
        </w:rPr>
        <w:t>______</w:t>
      </w:r>
      <w:r w:rsidRPr="00E91F6E">
        <w:rPr>
          <w:sz w:val="22"/>
        </w:rPr>
        <w:t xml:space="preserve"> Fund.</w:t>
      </w:r>
    </w:p>
    <w:p w14:paraId="60A88004" w14:textId="3B440520" w:rsidR="004320CF" w:rsidRPr="00E91F6E" w:rsidRDefault="004320CF" w:rsidP="000D3BEC">
      <w:pPr>
        <w:widowControl/>
        <w:ind w:left="720"/>
        <w:jc w:val="both"/>
        <w:rPr>
          <w:sz w:val="22"/>
        </w:rPr>
      </w:pPr>
    </w:p>
    <w:p w14:paraId="3B857724" w14:textId="4F762307" w:rsidR="004320CF" w:rsidRPr="00E91F6E" w:rsidRDefault="004320CF" w:rsidP="000D3BEC">
      <w:pPr>
        <w:widowControl/>
        <w:ind w:left="720"/>
        <w:jc w:val="both"/>
        <w:rPr>
          <w:sz w:val="22"/>
        </w:rPr>
      </w:pPr>
      <w:r w:rsidRPr="00E91F6E">
        <w:rPr>
          <w:sz w:val="22"/>
        </w:rPr>
        <w:t xml:space="preserve">On November 1, 2019 the County issued $1,500,000 of general obligation bonds dated November 1, 2019 to finance County Courthouse improvements.  The bonds’ effective interest rate was </w:t>
      </w:r>
      <w:r w:rsidRPr="00E91F6E">
        <w:rPr>
          <w:sz w:val="22"/>
          <w:highlight w:val="yellow"/>
        </w:rPr>
        <w:t>__</w:t>
      </w:r>
      <w:r w:rsidRPr="00E91F6E">
        <w:rPr>
          <w:sz w:val="22"/>
        </w:rPr>
        <w:t>%, and they mature November 1, 2029.</w:t>
      </w:r>
    </w:p>
    <w:p w14:paraId="2C6267F8" w14:textId="77777777" w:rsidR="009F1611" w:rsidRPr="00E91F6E" w:rsidRDefault="009F1611" w:rsidP="000D3BEC">
      <w:pPr>
        <w:widowControl/>
        <w:ind w:left="720"/>
        <w:jc w:val="both"/>
        <w:rPr>
          <w:sz w:val="22"/>
        </w:rPr>
      </w:pPr>
    </w:p>
    <w:p w14:paraId="7E683C3B" w14:textId="58ACADEE" w:rsidR="00FF28C5" w:rsidRPr="00E91F6E" w:rsidRDefault="004C779B" w:rsidP="000D3BEC">
      <w:pPr>
        <w:widowControl/>
        <w:ind w:left="720"/>
        <w:jc w:val="both"/>
        <w:rPr>
          <w:sz w:val="22"/>
          <w:highlight w:val="yellow"/>
        </w:rPr>
      </w:pPr>
      <w:r w:rsidRPr="00E91F6E">
        <w:rPr>
          <w:b/>
          <w:sz w:val="22"/>
          <w:szCs w:val="22"/>
          <w:highlight w:val="green"/>
        </w:rPr>
        <w:t>The restatement of fund balance</w:t>
      </w:r>
      <w:r w:rsidR="0068020D" w:rsidRPr="00E91F6E">
        <w:rPr>
          <w:b/>
          <w:sz w:val="22"/>
          <w:szCs w:val="22"/>
          <w:highlight w:val="green"/>
        </w:rPr>
        <w:t xml:space="preserve"> disclosur</w:t>
      </w:r>
      <w:r w:rsidRPr="00E91F6E">
        <w:rPr>
          <w:b/>
          <w:sz w:val="22"/>
          <w:szCs w:val="22"/>
          <w:highlight w:val="green"/>
        </w:rPr>
        <w:t>e</w:t>
      </w:r>
      <w:r w:rsidR="00E12401" w:rsidRPr="00E91F6E">
        <w:rPr>
          <w:b/>
          <w:sz w:val="22"/>
          <w:szCs w:val="22"/>
          <w:highlight w:val="green"/>
        </w:rPr>
        <w:t xml:space="preserve"> is applicable if the ending cash balance reported for a County Fund in the prior fiscal year is different than that same fund’s beginning balance in the current fiscal year due to reclassification or error correction.  If all prior fiscal year </w:t>
      </w:r>
      <w:r w:rsidR="00E12401" w:rsidRPr="00E91F6E">
        <w:rPr>
          <w:b/>
          <w:sz w:val="22"/>
          <w:szCs w:val="22"/>
          <w:highlight w:val="green"/>
        </w:rPr>
        <w:lastRenderedPageBreak/>
        <w:t>ending balances agree to the current f</w:t>
      </w:r>
      <w:r w:rsidR="009F1611" w:rsidRPr="00E91F6E">
        <w:rPr>
          <w:b/>
          <w:sz w:val="22"/>
          <w:szCs w:val="22"/>
          <w:highlight w:val="green"/>
        </w:rPr>
        <w:t>iscal year’s beginning balances</w:t>
      </w:r>
      <w:r w:rsidR="00E12401" w:rsidRPr="00E91F6E">
        <w:rPr>
          <w:b/>
          <w:sz w:val="22"/>
          <w:szCs w:val="22"/>
          <w:highlight w:val="green"/>
        </w:rPr>
        <w:t xml:space="preserve"> this disclosure should be removed</w:t>
      </w:r>
      <w:r w:rsidRPr="00E91F6E">
        <w:rPr>
          <w:b/>
          <w:sz w:val="22"/>
          <w:szCs w:val="22"/>
          <w:highlight w:val="green"/>
        </w:rPr>
        <w:t>.</w:t>
      </w:r>
    </w:p>
    <w:p w14:paraId="7FDBA9B4" w14:textId="77777777" w:rsidR="00FF28C5" w:rsidRPr="00E91F6E" w:rsidRDefault="00FF28C5" w:rsidP="00FF28C5">
      <w:pPr>
        <w:pStyle w:val="ListParagraph"/>
        <w:numPr>
          <w:ilvl w:val="0"/>
          <w:numId w:val="11"/>
        </w:numPr>
        <w:jc w:val="both"/>
        <w:rPr>
          <w:b/>
          <w:color w:val="000000" w:themeColor="text1"/>
          <w:sz w:val="22"/>
          <w:szCs w:val="22"/>
          <w:u w:val="single"/>
        </w:rPr>
      </w:pPr>
      <w:r w:rsidRPr="00E91F6E">
        <w:rPr>
          <w:b/>
          <w:sz w:val="22"/>
          <w:szCs w:val="22"/>
          <w:u w:val="single"/>
        </w:rPr>
        <w:t>Restatement of Fund Balance</w:t>
      </w:r>
    </w:p>
    <w:p w14:paraId="290A4B6A" w14:textId="77777777" w:rsidR="00FF28C5" w:rsidRPr="00E91F6E" w:rsidRDefault="00FF28C5" w:rsidP="00FF28C5">
      <w:pPr>
        <w:pStyle w:val="Default"/>
        <w:jc w:val="both"/>
        <w:rPr>
          <w:rFonts w:eastAsiaTheme="minorHAnsi"/>
          <w:sz w:val="22"/>
          <w:szCs w:val="22"/>
        </w:rPr>
      </w:pPr>
    </w:p>
    <w:p w14:paraId="0AFBE014" w14:textId="77777777" w:rsidR="00FF28C5" w:rsidRPr="00E91F6E" w:rsidRDefault="00FF28C5" w:rsidP="00FF28C5">
      <w:pPr>
        <w:ind w:left="720"/>
        <w:jc w:val="both"/>
        <w:rPr>
          <w:sz w:val="22"/>
        </w:rPr>
      </w:pPr>
      <w:r w:rsidRPr="00E91F6E">
        <w:rPr>
          <w:sz w:val="22"/>
        </w:rPr>
        <w:t xml:space="preserve">During the fiscal year, the County had a reclassification of funds. Court Fund Payroll was reclassified as a county fund and represents payroll expenditures of County employees.  Sanitary Landfill was reclassified as a trust and agency fund as it is under the direction of a multi-county authority.  </w:t>
      </w:r>
    </w:p>
    <w:p w14:paraId="7BD00613" w14:textId="77777777" w:rsidR="00FF28C5" w:rsidRPr="00E91F6E" w:rsidRDefault="00FF28C5" w:rsidP="00FF28C5">
      <w:pPr>
        <w:pStyle w:val="BodyTextIndent3"/>
        <w:tabs>
          <w:tab w:val="right" w:pos="8910"/>
        </w:tabs>
      </w:pPr>
    </w:p>
    <w:p w14:paraId="76860A8C" w14:textId="77777777" w:rsidR="00FF28C5" w:rsidRPr="00E91F6E" w:rsidRDefault="00FF28C5" w:rsidP="00FF28C5">
      <w:pPr>
        <w:pStyle w:val="BodyTextIndent3"/>
        <w:tabs>
          <w:tab w:val="decimal" w:pos="8100"/>
        </w:tabs>
        <w:ind w:left="1080"/>
        <w:rPr>
          <w:rFonts w:eastAsiaTheme="minorHAnsi"/>
        </w:rPr>
      </w:pPr>
      <w:r w:rsidRPr="00E91F6E">
        <w:t>Prior</w:t>
      </w:r>
      <w:r w:rsidRPr="00E91F6E">
        <w:rPr>
          <w:rFonts w:eastAsiaTheme="minorHAnsi"/>
        </w:rPr>
        <w:t xml:space="preserve"> year ending balance, as reported</w:t>
      </w:r>
      <w:r w:rsidRPr="00E91F6E">
        <w:rPr>
          <w:rFonts w:eastAsiaTheme="minorHAnsi"/>
        </w:rPr>
        <w:tab/>
        <w:t xml:space="preserve">$   </w:t>
      </w:r>
      <w:proofErr w:type="spellStart"/>
      <w:r w:rsidRPr="00E91F6E">
        <w:rPr>
          <w:rFonts w:eastAsiaTheme="minorHAnsi"/>
          <w:highlight w:val="yellow"/>
        </w:rPr>
        <w:t>xxx,xxx</w:t>
      </w:r>
      <w:proofErr w:type="spellEnd"/>
    </w:p>
    <w:p w14:paraId="0F4FA29C" w14:textId="77777777" w:rsidR="00FF28C5" w:rsidRPr="00E91F6E" w:rsidRDefault="00FF28C5" w:rsidP="00FF28C5">
      <w:pPr>
        <w:pStyle w:val="BodyTextIndent3"/>
        <w:tabs>
          <w:tab w:val="right" w:pos="8280"/>
        </w:tabs>
        <w:ind w:left="1080"/>
        <w:rPr>
          <w:rFonts w:eastAsiaTheme="minorHAnsi"/>
        </w:rPr>
      </w:pPr>
    </w:p>
    <w:p w14:paraId="7D1DF6FC" w14:textId="77777777" w:rsidR="00FF28C5" w:rsidRPr="00E91F6E" w:rsidRDefault="00FF28C5" w:rsidP="00FF28C5">
      <w:pPr>
        <w:pStyle w:val="BodyTextIndent3"/>
        <w:tabs>
          <w:tab w:val="right" w:pos="8280"/>
        </w:tabs>
        <w:ind w:left="1080"/>
        <w:rPr>
          <w:rFonts w:eastAsiaTheme="minorHAnsi"/>
        </w:rPr>
      </w:pPr>
      <w:r w:rsidRPr="00E91F6E">
        <w:rPr>
          <w:rFonts w:eastAsiaTheme="minorHAnsi"/>
        </w:rPr>
        <w:t>Funds reclassified to County Funds:</w:t>
      </w:r>
    </w:p>
    <w:p w14:paraId="01992A38" w14:textId="77777777" w:rsidR="00FF28C5" w:rsidRPr="00E91F6E" w:rsidRDefault="00FF28C5" w:rsidP="00FF28C5">
      <w:pPr>
        <w:pStyle w:val="BodyTextIndent3"/>
        <w:tabs>
          <w:tab w:val="right" w:pos="8280"/>
        </w:tabs>
        <w:ind w:left="1080"/>
        <w:rPr>
          <w:rFonts w:eastAsiaTheme="minorHAnsi"/>
        </w:rPr>
      </w:pPr>
      <w:r w:rsidRPr="00E91F6E">
        <w:rPr>
          <w:rFonts w:eastAsiaTheme="minorHAnsi"/>
        </w:rPr>
        <w:t>Court Funded Payroll reclassified from a</w:t>
      </w:r>
    </w:p>
    <w:p w14:paraId="6BF565CE" w14:textId="77777777" w:rsidR="00FF28C5" w:rsidRPr="00E91F6E" w:rsidRDefault="00FF28C5" w:rsidP="00FF28C5">
      <w:pPr>
        <w:pStyle w:val="BodyTextIndent3"/>
        <w:tabs>
          <w:tab w:val="decimal" w:pos="8100"/>
        </w:tabs>
        <w:ind w:left="1080"/>
        <w:rPr>
          <w:rFonts w:eastAsiaTheme="minorHAnsi"/>
        </w:rPr>
      </w:pPr>
      <w:r w:rsidRPr="00E91F6E">
        <w:rPr>
          <w:rFonts w:eastAsiaTheme="minorHAnsi"/>
        </w:rPr>
        <w:t xml:space="preserve">   Trust and Agency Fund to a County Fund</w:t>
      </w:r>
      <w:r w:rsidRPr="00E91F6E">
        <w:rPr>
          <w:rFonts w:eastAsiaTheme="minorHAnsi"/>
        </w:rPr>
        <w:tab/>
        <w:t xml:space="preserve">   </w:t>
      </w:r>
      <w:proofErr w:type="spellStart"/>
      <w:r w:rsidRPr="00E91F6E">
        <w:rPr>
          <w:rFonts w:eastAsiaTheme="minorHAnsi"/>
          <w:highlight w:val="yellow"/>
        </w:rPr>
        <w:t>xxx,xxx</w:t>
      </w:r>
      <w:proofErr w:type="spellEnd"/>
    </w:p>
    <w:p w14:paraId="404F8A45" w14:textId="77777777" w:rsidR="00FF28C5" w:rsidRPr="00E91F6E" w:rsidRDefault="00FF28C5" w:rsidP="00FF28C5">
      <w:pPr>
        <w:pStyle w:val="BodyTextIndent3"/>
        <w:tabs>
          <w:tab w:val="right" w:pos="8280"/>
        </w:tabs>
        <w:ind w:left="1080"/>
        <w:rPr>
          <w:rFonts w:eastAsiaTheme="minorHAnsi"/>
        </w:rPr>
      </w:pPr>
    </w:p>
    <w:p w14:paraId="467856CD" w14:textId="77777777" w:rsidR="00FF28C5" w:rsidRPr="00E91F6E" w:rsidRDefault="00FF28C5" w:rsidP="00FF28C5">
      <w:pPr>
        <w:pStyle w:val="BodyTextIndent3"/>
        <w:tabs>
          <w:tab w:val="decimal" w:pos="8100"/>
        </w:tabs>
        <w:ind w:left="1080"/>
        <w:rPr>
          <w:rFonts w:eastAsiaTheme="minorHAnsi"/>
        </w:rPr>
      </w:pPr>
      <w:r w:rsidRPr="00E91F6E">
        <w:rPr>
          <w:rFonts w:eastAsiaTheme="minorHAnsi"/>
        </w:rPr>
        <w:t>Correction to Fund Balance for General Fund</w:t>
      </w:r>
      <w:r w:rsidRPr="00E91F6E">
        <w:rPr>
          <w:rFonts w:eastAsiaTheme="minorHAnsi"/>
        </w:rPr>
        <w:tab/>
        <w:t xml:space="preserve">   </w:t>
      </w:r>
      <w:proofErr w:type="spellStart"/>
      <w:r w:rsidRPr="00E91F6E">
        <w:rPr>
          <w:rFonts w:eastAsiaTheme="minorHAnsi"/>
          <w:highlight w:val="yellow"/>
        </w:rPr>
        <w:t>xxx,xxx</w:t>
      </w:r>
      <w:proofErr w:type="spellEnd"/>
    </w:p>
    <w:p w14:paraId="48E86F58" w14:textId="77777777" w:rsidR="00FF28C5" w:rsidRPr="00E91F6E" w:rsidRDefault="00FF28C5" w:rsidP="00FF28C5">
      <w:pPr>
        <w:pStyle w:val="BodyTextIndent3"/>
        <w:tabs>
          <w:tab w:val="decimal" w:pos="8100"/>
        </w:tabs>
        <w:ind w:left="1080"/>
        <w:rPr>
          <w:rFonts w:eastAsiaTheme="minorHAnsi"/>
        </w:rPr>
      </w:pPr>
    </w:p>
    <w:p w14:paraId="180464AE" w14:textId="77777777" w:rsidR="00FF28C5" w:rsidRPr="00E91F6E" w:rsidRDefault="00FF28C5" w:rsidP="00FF28C5">
      <w:pPr>
        <w:pStyle w:val="BodyTextIndent3"/>
        <w:tabs>
          <w:tab w:val="right" w:pos="8280"/>
        </w:tabs>
        <w:ind w:left="1080"/>
        <w:rPr>
          <w:rFonts w:eastAsiaTheme="minorHAnsi"/>
        </w:rPr>
      </w:pPr>
      <w:r w:rsidRPr="00E91F6E">
        <w:rPr>
          <w:rFonts w:eastAsiaTheme="minorHAnsi"/>
        </w:rPr>
        <w:t>Funds reclassified as Trust and Agency Funds:</w:t>
      </w:r>
    </w:p>
    <w:p w14:paraId="7B97154A" w14:textId="77777777" w:rsidR="00FF28C5" w:rsidRPr="00E91F6E" w:rsidRDefault="00FF28C5" w:rsidP="00FF28C5">
      <w:pPr>
        <w:pStyle w:val="Default"/>
        <w:tabs>
          <w:tab w:val="right" w:pos="8280"/>
        </w:tabs>
        <w:ind w:left="1080"/>
        <w:jc w:val="both"/>
        <w:rPr>
          <w:rFonts w:eastAsiaTheme="minorHAnsi"/>
          <w:sz w:val="22"/>
          <w:szCs w:val="22"/>
        </w:rPr>
      </w:pPr>
      <w:r w:rsidRPr="00E91F6E">
        <w:rPr>
          <w:rFonts w:eastAsiaTheme="minorHAnsi"/>
          <w:sz w:val="22"/>
          <w:szCs w:val="22"/>
        </w:rPr>
        <w:t xml:space="preserve">Sanitary Landfill reclassified from a </w:t>
      </w:r>
    </w:p>
    <w:p w14:paraId="6E18ACEB" w14:textId="77777777" w:rsidR="00FF28C5" w:rsidRPr="00E91F6E" w:rsidRDefault="00FF28C5" w:rsidP="00FF28C5">
      <w:pPr>
        <w:pStyle w:val="BodyTextIndent3"/>
        <w:tabs>
          <w:tab w:val="decimal" w:pos="8100"/>
        </w:tabs>
        <w:ind w:left="1080"/>
        <w:rPr>
          <w:rFonts w:eastAsiaTheme="minorHAnsi"/>
          <w:u w:val="single"/>
        </w:rPr>
      </w:pPr>
      <w:r w:rsidRPr="00E91F6E">
        <w:rPr>
          <w:rFonts w:eastAsiaTheme="minorHAnsi"/>
        </w:rPr>
        <w:t xml:space="preserve">   County Fund to an Trust and Agency fund</w:t>
      </w:r>
      <w:r w:rsidRPr="00E91F6E">
        <w:rPr>
          <w:rFonts w:eastAsiaTheme="minorHAnsi"/>
        </w:rPr>
        <w:tab/>
      </w:r>
      <w:r w:rsidRPr="00E91F6E">
        <w:rPr>
          <w:rFonts w:eastAsiaTheme="minorHAnsi"/>
          <w:u w:val="single"/>
        </w:rPr>
        <w:t xml:space="preserve">   </w:t>
      </w:r>
      <w:proofErr w:type="spellStart"/>
      <w:r w:rsidRPr="00E91F6E">
        <w:rPr>
          <w:rFonts w:eastAsiaTheme="minorHAnsi"/>
          <w:highlight w:val="yellow"/>
          <w:u w:val="single"/>
        </w:rPr>
        <w:t>xxx,xxx</w:t>
      </w:r>
      <w:proofErr w:type="spellEnd"/>
    </w:p>
    <w:p w14:paraId="43AEA915" w14:textId="77777777" w:rsidR="00FF28C5" w:rsidRPr="00E91F6E" w:rsidRDefault="00FF28C5" w:rsidP="00FF28C5">
      <w:pPr>
        <w:pStyle w:val="BodyTextIndent3"/>
        <w:tabs>
          <w:tab w:val="right" w:pos="8280"/>
        </w:tabs>
        <w:ind w:left="1080"/>
        <w:rPr>
          <w:rFonts w:eastAsiaTheme="minorHAnsi"/>
        </w:rPr>
      </w:pPr>
    </w:p>
    <w:p w14:paraId="3F9B1192" w14:textId="35C9AD43" w:rsidR="00141DE6" w:rsidRPr="00E91F6E" w:rsidRDefault="00FF28C5" w:rsidP="00DF20BC">
      <w:pPr>
        <w:pStyle w:val="BodyTextIndent3"/>
        <w:tabs>
          <w:tab w:val="decimal" w:pos="8100"/>
        </w:tabs>
        <w:ind w:left="1080"/>
        <w:rPr>
          <w:rFonts w:eastAsiaTheme="minorHAnsi"/>
          <w:u w:val="double"/>
        </w:rPr>
      </w:pPr>
      <w:r w:rsidRPr="00E91F6E">
        <w:rPr>
          <w:rFonts w:eastAsiaTheme="minorHAnsi"/>
        </w:rPr>
        <w:t xml:space="preserve">Prior year ending balance, as restated </w:t>
      </w:r>
      <w:r w:rsidRPr="00E91F6E">
        <w:rPr>
          <w:rFonts w:eastAsiaTheme="minorHAnsi"/>
        </w:rPr>
        <w:tab/>
        <w:t>$</w:t>
      </w:r>
      <w:r w:rsidRPr="00E91F6E">
        <w:rPr>
          <w:rFonts w:eastAsiaTheme="minorHAnsi"/>
          <w:u w:val="double"/>
        </w:rPr>
        <w:t xml:space="preserve">   </w:t>
      </w:r>
      <w:proofErr w:type="spellStart"/>
      <w:r w:rsidRPr="00E91F6E">
        <w:rPr>
          <w:rFonts w:eastAsiaTheme="minorHAnsi"/>
          <w:highlight w:val="yellow"/>
          <w:u w:val="double"/>
        </w:rPr>
        <w:t>xxx,xxx</w:t>
      </w:r>
      <w:proofErr w:type="spellEnd"/>
    </w:p>
    <w:p w14:paraId="7BD3B3AF" w14:textId="0BAC55F5" w:rsidR="0022098E" w:rsidRPr="00E91F6E" w:rsidRDefault="0022098E" w:rsidP="00FC7EEF">
      <w:pPr>
        <w:widowControl/>
        <w:autoSpaceDE/>
        <w:autoSpaceDN/>
        <w:adjustRightInd/>
        <w:rPr>
          <w:rFonts w:eastAsiaTheme="minorHAnsi"/>
          <w:sz w:val="22"/>
          <w:szCs w:val="22"/>
          <w:u w:val="double"/>
        </w:rPr>
      </w:pPr>
    </w:p>
    <w:p w14:paraId="6A61ABF1" w14:textId="77777777" w:rsidR="00FC7EEF" w:rsidRPr="00E91F6E" w:rsidRDefault="00FC7EEF">
      <w:pPr>
        <w:widowControl/>
        <w:autoSpaceDE/>
        <w:autoSpaceDN/>
        <w:adjustRightInd/>
        <w:rPr>
          <w:rFonts w:eastAsiaTheme="minorHAnsi"/>
          <w:sz w:val="22"/>
          <w:szCs w:val="22"/>
          <w:highlight w:val="yellow"/>
          <w:u w:val="double"/>
        </w:rPr>
        <w:sectPr w:rsidR="00FC7EEF" w:rsidRPr="00E91F6E" w:rsidSect="00FD2381">
          <w:headerReference w:type="even" r:id="rId40"/>
          <w:headerReference w:type="default" r:id="rId41"/>
          <w:headerReference w:type="first" r:id="rId42"/>
          <w:footnotePr>
            <w:numRestart w:val="eachPage"/>
          </w:footnotePr>
          <w:endnotePr>
            <w:numFmt w:val="decimal"/>
          </w:endnotePr>
          <w:pgSz w:w="12240" w:h="15840"/>
          <w:pgMar w:top="1440" w:right="1440" w:bottom="1440" w:left="1440" w:header="1440" w:footer="1440" w:gutter="0"/>
          <w:cols w:space="720"/>
          <w:noEndnote/>
          <w:docGrid w:linePitch="272"/>
        </w:sectPr>
      </w:pPr>
    </w:p>
    <w:p w14:paraId="5AD5DB87" w14:textId="58A0D0B6" w:rsidR="00FC7EEF" w:rsidRPr="00E91F6E" w:rsidRDefault="00753887" w:rsidP="00FC7EEF">
      <w:pPr>
        <w:pStyle w:val="Title"/>
        <w:widowControl/>
        <w:rPr>
          <w:sz w:val="44"/>
          <w:szCs w:val="44"/>
        </w:rPr>
      </w:pPr>
      <w:r w:rsidRPr="00E91F6E">
        <w:rPr>
          <w:sz w:val="44"/>
          <w:szCs w:val="44"/>
        </w:rPr>
        <w:lastRenderedPageBreak/>
        <w:t>Submission Instructions</w:t>
      </w:r>
    </w:p>
    <w:p w14:paraId="1F165660" w14:textId="77777777" w:rsidR="00506378" w:rsidRPr="00E91F6E" w:rsidRDefault="00506378" w:rsidP="00506378">
      <w:pPr>
        <w:pStyle w:val="Title"/>
        <w:widowControl/>
        <w:jc w:val="left"/>
        <w:rPr>
          <w:sz w:val="28"/>
          <w:szCs w:val="28"/>
        </w:rPr>
      </w:pPr>
    </w:p>
    <w:p w14:paraId="2C73CBC2" w14:textId="2C5DA1D6" w:rsidR="00753887" w:rsidRPr="00E91F6E" w:rsidRDefault="00753887" w:rsidP="00506378">
      <w:pPr>
        <w:pStyle w:val="Title"/>
        <w:widowControl/>
        <w:rPr>
          <w:sz w:val="26"/>
          <w:szCs w:val="26"/>
        </w:rPr>
      </w:pPr>
      <w:r w:rsidRPr="00E91F6E">
        <w:rPr>
          <w:sz w:val="26"/>
          <w:szCs w:val="26"/>
        </w:rPr>
        <w:t>Once the template has been completed</w:t>
      </w:r>
      <w:r w:rsidR="00506378" w:rsidRPr="00E91F6E">
        <w:rPr>
          <w:sz w:val="26"/>
          <w:szCs w:val="26"/>
        </w:rPr>
        <w:t xml:space="preserve"> </w:t>
      </w:r>
      <w:r w:rsidRPr="00E91F6E">
        <w:rPr>
          <w:sz w:val="26"/>
          <w:szCs w:val="26"/>
        </w:rPr>
        <w:t>the following steps should be</w:t>
      </w:r>
      <w:r w:rsidR="00506378" w:rsidRPr="00E91F6E">
        <w:rPr>
          <w:sz w:val="26"/>
          <w:szCs w:val="26"/>
        </w:rPr>
        <w:t xml:space="preserve"> </w:t>
      </w:r>
      <w:r w:rsidRPr="00E91F6E">
        <w:rPr>
          <w:sz w:val="26"/>
          <w:szCs w:val="26"/>
        </w:rPr>
        <w:t>performe</w:t>
      </w:r>
      <w:r w:rsidR="00EE213C" w:rsidRPr="00E91F6E">
        <w:rPr>
          <w:sz w:val="26"/>
          <w:szCs w:val="26"/>
        </w:rPr>
        <w:t>d</w:t>
      </w:r>
    </w:p>
    <w:p w14:paraId="5953C29A" w14:textId="4B1CB0AF" w:rsidR="00FC7EEF" w:rsidRPr="00E91F6E" w:rsidRDefault="00FC7EEF" w:rsidP="00FC7EEF">
      <w:pPr>
        <w:pStyle w:val="Title"/>
        <w:widowControl/>
        <w:jc w:val="both"/>
        <w:rPr>
          <w:b w:val="0"/>
        </w:rPr>
      </w:pPr>
    </w:p>
    <w:p w14:paraId="26B2F4C4" w14:textId="77777777" w:rsidR="00506378" w:rsidRPr="00E91F6E" w:rsidRDefault="00506378" w:rsidP="00FC7EEF">
      <w:pPr>
        <w:pStyle w:val="Title"/>
        <w:widowControl/>
        <w:jc w:val="both"/>
        <w:rPr>
          <w:b w:val="0"/>
        </w:rPr>
      </w:pPr>
    </w:p>
    <w:tbl>
      <w:tblPr>
        <w:tblStyle w:val="TableGrid"/>
        <w:tblW w:w="0" w:type="auto"/>
        <w:shd w:val="solid" w:color="auto" w:fill="auto"/>
        <w:tblLook w:val="04A0" w:firstRow="1" w:lastRow="0" w:firstColumn="1" w:lastColumn="0" w:noHBand="0" w:noVBand="1"/>
      </w:tblPr>
      <w:tblGrid>
        <w:gridCol w:w="9350"/>
      </w:tblGrid>
      <w:tr w:rsidR="00FC7EEF" w:rsidRPr="00E91F6E" w14:paraId="04E1AA7F" w14:textId="77777777" w:rsidTr="00B5781E">
        <w:tc>
          <w:tcPr>
            <w:tcW w:w="9523" w:type="dxa"/>
            <w:shd w:val="solid" w:color="auto" w:fill="auto"/>
          </w:tcPr>
          <w:p w14:paraId="7D5D71BF" w14:textId="1A36E53A" w:rsidR="00FC7EEF" w:rsidRPr="00E91F6E" w:rsidRDefault="00506378" w:rsidP="00B5781E">
            <w:pPr>
              <w:pStyle w:val="Title"/>
              <w:widowControl/>
              <w:spacing w:before="120" w:after="120"/>
              <w:rPr>
                <w:b w:val="0"/>
                <w:color w:val="FFFFFF" w:themeColor="background1"/>
                <w:sz w:val="32"/>
                <w:szCs w:val="32"/>
              </w:rPr>
            </w:pPr>
            <w:r w:rsidRPr="00E91F6E">
              <w:rPr>
                <w:color w:val="FFFFFF" w:themeColor="background1"/>
                <w:sz w:val="32"/>
                <w:szCs w:val="32"/>
              </w:rPr>
              <w:t>STEP 1 – BOCC APPROVAL</w:t>
            </w:r>
          </w:p>
        </w:tc>
      </w:tr>
    </w:tbl>
    <w:p w14:paraId="76E60EA4" w14:textId="77777777" w:rsidR="00001EF2" w:rsidRPr="00E91F6E" w:rsidRDefault="00001EF2" w:rsidP="00FC7EEF">
      <w:pPr>
        <w:pStyle w:val="Title"/>
        <w:widowControl/>
        <w:jc w:val="both"/>
        <w:rPr>
          <w:b w:val="0"/>
        </w:rPr>
      </w:pPr>
    </w:p>
    <w:p w14:paraId="23CE36C4" w14:textId="0E51E5B5" w:rsidR="00FC7EEF" w:rsidRPr="00E91F6E" w:rsidRDefault="00506378" w:rsidP="00FC7EEF">
      <w:pPr>
        <w:pStyle w:val="Title"/>
        <w:widowControl/>
        <w:jc w:val="both"/>
        <w:rPr>
          <w:b w:val="0"/>
        </w:rPr>
      </w:pPr>
      <w:r w:rsidRPr="00E91F6E">
        <w:rPr>
          <w:b w:val="0"/>
        </w:rPr>
        <w:t>The completed Financial Statement and Notes to the Financial Statement should be presented to the Board of County Commissioners in an open meeting.  The Board of County Commissioners should accept and approve the completed Financial Statement and Notes to the Financial Statement as the financial report for the County for the fiscal year reported.</w:t>
      </w:r>
    </w:p>
    <w:p w14:paraId="3917B8EC" w14:textId="77777777" w:rsidR="00FC7EEF" w:rsidRPr="00E91F6E" w:rsidRDefault="00FC7EEF" w:rsidP="00FC7EEF">
      <w:pPr>
        <w:pStyle w:val="Title"/>
        <w:widowControl/>
        <w:jc w:val="both"/>
        <w:rPr>
          <w:b w:val="0"/>
        </w:rPr>
      </w:pPr>
    </w:p>
    <w:p w14:paraId="5A9E1957" w14:textId="3A64D46D" w:rsidR="00FC7EEF" w:rsidRPr="00E91F6E" w:rsidRDefault="00FC7EEF" w:rsidP="00FC7EEF">
      <w:pPr>
        <w:pStyle w:val="Title"/>
        <w:jc w:val="both"/>
        <w:rPr>
          <w:b w:val="0"/>
        </w:rPr>
      </w:pPr>
    </w:p>
    <w:p w14:paraId="49362F8A" w14:textId="77777777" w:rsidR="00506378" w:rsidRPr="00E91F6E" w:rsidRDefault="00506378" w:rsidP="00FC7EEF">
      <w:pPr>
        <w:pStyle w:val="Title"/>
        <w:jc w:val="both"/>
        <w:rPr>
          <w:b w:val="0"/>
        </w:rPr>
      </w:pPr>
    </w:p>
    <w:tbl>
      <w:tblPr>
        <w:tblStyle w:val="TableGrid"/>
        <w:tblW w:w="0" w:type="auto"/>
        <w:shd w:val="solid" w:color="auto" w:fill="auto"/>
        <w:tblLook w:val="04A0" w:firstRow="1" w:lastRow="0" w:firstColumn="1" w:lastColumn="0" w:noHBand="0" w:noVBand="1"/>
      </w:tblPr>
      <w:tblGrid>
        <w:gridCol w:w="9350"/>
      </w:tblGrid>
      <w:tr w:rsidR="00FC7EEF" w:rsidRPr="00E91F6E" w14:paraId="54013A3A" w14:textId="77777777" w:rsidTr="00B5781E">
        <w:tc>
          <w:tcPr>
            <w:tcW w:w="9523" w:type="dxa"/>
            <w:shd w:val="solid" w:color="auto" w:fill="auto"/>
          </w:tcPr>
          <w:p w14:paraId="7E3F0DCC" w14:textId="15C26174" w:rsidR="00FC7EEF" w:rsidRPr="00E91F6E" w:rsidRDefault="00506378" w:rsidP="00B5781E">
            <w:pPr>
              <w:pStyle w:val="Title"/>
              <w:widowControl/>
              <w:spacing w:before="120" w:after="120"/>
              <w:rPr>
                <w:b w:val="0"/>
                <w:color w:val="FFFFFF" w:themeColor="background1"/>
                <w:sz w:val="32"/>
                <w:szCs w:val="32"/>
              </w:rPr>
            </w:pPr>
            <w:r w:rsidRPr="00E91F6E">
              <w:rPr>
                <w:color w:val="FFFFFF" w:themeColor="background1"/>
                <w:sz w:val="32"/>
                <w:szCs w:val="32"/>
              </w:rPr>
              <w:t>STEP 2 – SUBMISSION TO THE STATE AUDITOR</w:t>
            </w:r>
          </w:p>
        </w:tc>
      </w:tr>
    </w:tbl>
    <w:p w14:paraId="30CDED14" w14:textId="77777777" w:rsidR="00001EF2" w:rsidRPr="00E91F6E" w:rsidRDefault="00001EF2" w:rsidP="00FC7EEF">
      <w:pPr>
        <w:pStyle w:val="Title"/>
        <w:widowControl/>
        <w:jc w:val="both"/>
        <w:rPr>
          <w:b w:val="0"/>
        </w:rPr>
      </w:pPr>
    </w:p>
    <w:p w14:paraId="28854404" w14:textId="72CCAB20" w:rsidR="00FC7EEF" w:rsidRPr="00E91F6E" w:rsidRDefault="00506378" w:rsidP="00FC7EEF">
      <w:pPr>
        <w:pStyle w:val="Title"/>
        <w:widowControl/>
        <w:jc w:val="both"/>
        <w:rPr>
          <w:b w:val="0"/>
        </w:rPr>
      </w:pPr>
      <w:r w:rsidRPr="00E91F6E">
        <w:rPr>
          <w:b w:val="0"/>
        </w:rPr>
        <w:t xml:space="preserve">Once approved, the completed Financial Statement and Notes to the Financial Statement should be submitted to the State Auditor and Inspector’s Office.  Submissions may be e-mailed to: </w:t>
      </w:r>
      <w:hyperlink r:id="rId43" w:history="1">
        <w:r w:rsidRPr="00E91F6E">
          <w:rPr>
            <w:rStyle w:val="Hyperlink"/>
            <w:b w:val="0"/>
          </w:rPr>
          <w:t>rward@sai.ok.gov</w:t>
        </w:r>
      </w:hyperlink>
    </w:p>
    <w:p w14:paraId="2588BB2A" w14:textId="166B77FA" w:rsidR="00506378" w:rsidRPr="00E91F6E" w:rsidRDefault="00506378" w:rsidP="00FC7EEF">
      <w:pPr>
        <w:pStyle w:val="Title"/>
        <w:widowControl/>
        <w:jc w:val="both"/>
        <w:rPr>
          <w:b w:val="0"/>
        </w:rPr>
      </w:pPr>
    </w:p>
    <w:p w14:paraId="33E68059" w14:textId="17172BA6" w:rsidR="00506378" w:rsidRPr="00E91F6E" w:rsidRDefault="00521121" w:rsidP="00FC7EEF">
      <w:pPr>
        <w:pStyle w:val="Title"/>
        <w:widowControl/>
        <w:jc w:val="both"/>
        <w:rPr>
          <w:b w:val="0"/>
        </w:rPr>
      </w:pPr>
      <w:r w:rsidRPr="00E91F6E">
        <w:rPr>
          <w:b w:val="0"/>
        </w:rPr>
        <w:t>It is recommended</w:t>
      </w:r>
      <w:r w:rsidR="00506378" w:rsidRPr="00E91F6E">
        <w:rPr>
          <w:b w:val="0"/>
        </w:rPr>
        <w:t xml:space="preserve"> e-mailed submissions be provided as a digital PDF instead of </w:t>
      </w:r>
      <w:r w:rsidRPr="00E91F6E">
        <w:rPr>
          <w:b w:val="0"/>
        </w:rPr>
        <w:t>printing the document, scanning the</w:t>
      </w:r>
      <w:r w:rsidR="00506378" w:rsidRPr="00E91F6E">
        <w:rPr>
          <w:b w:val="0"/>
        </w:rPr>
        <w:t xml:space="preserve"> pages</w:t>
      </w:r>
      <w:r w:rsidRPr="00E91F6E">
        <w:rPr>
          <w:b w:val="0"/>
        </w:rPr>
        <w:t xml:space="preserve">, and then saving the scanned pages </w:t>
      </w:r>
      <w:r w:rsidR="00506378" w:rsidRPr="00E91F6E">
        <w:rPr>
          <w:b w:val="0"/>
        </w:rPr>
        <w:t>a PDF.</w:t>
      </w:r>
    </w:p>
    <w:p w14:paraId="447A0F17" w14:textId="19A1B11C" w:rsidR="00506378" w:rsidRPr="00E91F6E" w:rsidRDefault="00506378" w:rsidP="00FC7EEF">
      <w:pPr>
        <w:pStyle w:val="Title"/>
        <w:widowControl/>
        <w:jc w:val="both"/>
        <w:rPr>
          <w:b w:val="0"/>
        </w:rPr>
      </w:pPr>
    </w:p>
    <w:p w14:paraId="6B144B26" w14:textId="15192A2F" w:rsidR="00506378" w:rsidRPr="00E91F6E" w:rsidRDefault="00506378" w:rsidP="00FC7EEF">
      <w:pPr>
        <w:pStyle w:val="Title"/>
        <w:widowControl/>
        <w:jc w:val="both"/>
        <w:rPr>
          <w:b w:val="0"/>
        </w:rPr>
      </w:pPr>
      <w:r w:rsidRPr="00E91F6E">
        <w:rPr>
          <w:b w:val="0"/>
        </w:rPr>
        <w:t>While electronic submissions are highly recommended, submissions may also be mailed to the following address:</w:t>
      </w:r>
    </w:p>
    <w:p w14:paraId="0173FAC9" w14:textId="59689CDA" w:rsidR="00506378" w:rsidRPr="00E91F6E" w:rsidRDefault="00506378" w:rsidP="00FC7EEF">
      <w:pPr>
        <w:pStyle w:val="Title"/>
        <w:widowControl/>
        <w:jc w:val="both"/>
        <w:rPr>
          <w:b w:val="0"/>
        </w:rPr>
      </w:pPr>
    </w:p>
    <w:p w14:paraId="3AA2CB68" w14:textId="77777777" w:rsidR="00506378" w:rsidRPr="00E91F6E" w:rsidRDefault="00506378" w:rsidP="00506378">
      <w:pPr>
        <w:pStyle w:val="Title"/>
        <w:ind w:left="720"/>
        <w:jc w:val="both"/>
        <w:rPr>
          <w:b w:val="0"/>
        </w:rPr>
      </w:pPr>
      <w:r w:rsidRPr="00E91F6E">
        <w:rPr>
          <w:b w:val="0"/>
        </w:rPr>
        <w:t>Attention: Rachael Ward</w:t>
      </w:r>
    </w:p>
    <w:p w14:paraId="1262343E" w14:textId="77777777" w:rsidR="00506378" w:rsidRPr="00E91F6E" w:rsidRDefault="00506378" w:rsidP="00506378">
      <w:pPr>
        <w:pStyle w:val="Title"/>
        <w:ind w:left="720"/>
        <w:jc w:val="both"/>
        <w:rPr>
          <w:b w:val="0"/>
        </w:rPr>
      </w:pPr>
      <w:r w:rsidRPr="00E91F6E">
        <w:rPr>
          <w:b w:val="0"/>
        </w:rPr>
        <w:t>P.O. Box 1201</w:t>
      </w:r>
    </w:p>
    <w:p w14:paraId="5C7AF1BC" w14:textId="77777777" w:rsidR="00506378" w:rsidRPr="00E91F6E" w:rsidRDefault="00506378" w:rsidP="00506378">
      <w:pPr>
        <w:pStyle w:val="Title"/>
        <w:ind w:left="720"/>
        <w:jc w:val="both"/>
        <w:rPr>
          <w:b w:val="0"/>
        </w:rPr>
      </w:pPr>
      <w:r w:rsidRPr="00E91F6E">
        <w:rPr>
          <w:b w:val="0"/>
        </w:rPr>
        <w:t>Ada, OK 74821-1201</w:t>
      </w:r>
    </w:p>
    <w:p w14:paraId="1D563B01" w14:textId="77777777" w:rsidR="00506378" w:rsidRPr="00E91F6E" w:rsidRDefault="00506378" w:rsidP="00FC7EEF">
      <w:pPr>
        <w:pStyle w:val="Title"/>
        <w:widowControl/>
        <w:jc w:val="both"/>
        <w:rPr>
          <w:b w:val="0"/>
        </w:rPr>
      </w:pPr>
    </w:p>
    <w:p w14:paraId="5B7B6CD5" w14:textId="77777777" w:rsidR="0022098E" w:rsidRPr="00E91F6E" w:rsidRDefault="0022098E" w:rsidP="00DF20BC">
      <w:pPr>
        <w:pStyle w:val="BodyTextIndent3"/>
        <w:tabs>
          <w:tab w:val="decimal" w:pos="8100"/>
        </w:tabs>
        <w:ind w:left="1080"/>
        <w:rPr>
          <w:b/>
        </w:rPr>
      </w:pPr>
    </w:p>
    <w:sectPr w:rsidR="0022098E" w:rsidRPr="00E91F6E" w:rsidSect="00FD2381">
      <w:headerReference w:type="default" r:id="rId44"/>
      <w:footerReference w:type="default" r:id="rId45"/>
      <w:footnotePr>
        <w:numRestart w:val="eachPage"/>
      </w:footnotePr>
      <w:endnotePr>
        <w:numFmt w:val="decimal"/>
      </w:endnotePr>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A6E4" w14:textId="77777777" w:rsidR="00226B93" w:rsidRDefault="00226B93" w:rsidP="00445D1A">
      <w:r>
        <w:separator/>
      </w:r>
    </w:p>
  </w:endnote>
  <w:endnote w:type="continuationSeparator" w:id="0">
    <w:p w14:paraId="193EACCB" w14:textId="77777777" w:rsidR="00226B93" w:rsidRDefault="00226B93" w:rsidP="004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pperplate Gothic Light">
    <w:panose1 w:val="020E0507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FF0F" w14:textId="224038DD" w:rsidR="005E1143" w:rsidRDefault="005E1143" w:rsidP="005E2E66">
    <w:pPr>
      <w:pBdr>
        <w:top w:val="thinThickSmallGap" w:sz="24" w:space="1" w:color="auto"/>
      </w:pBd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F72" w14:textId="77777777" w:rsidR="005E1143" w:rsidRPr="00813581" w:rsidRDefault="005E1143" w:rsidP="00813581">
    <w:pPr>
      <w:pStyle w:val="Footer"/>
      <w:jc w:val="center"/>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ii</w:t>
    </w:r>
    <w:r>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D3AA" w14:textId="42186792" w:rsidR="005E1143" w:rsidRDefault="005E1143" w:rsidP="009924E0">
    <w:pPr>
      <w:pStyle w:val="Footer"/>
      <w:jc w:val="center"/>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887E" w14:textId="77777777" w:rsidR="005E1143" w:rsidRPr="00192BDF" w:rsidRDefault="005E1143" w:rsidP="00192BDF">
    <w:pPr>
      <w:pStyle w:val="Footer"/>
      <w:rPr>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C589" w14:textId="2EE721EF" w:rsidR="005E1143" w:rsidRDefault="005E1143">
    <w:pPr>
      <w:pStyle w:val="Footer"/>
      <w:jc w:val="center"/>
      <w:rPr>
        <w:sz w:val="22"/>
        <w:szCs w:val="22"/>
      </w:rPr>
    </w:pPr>
    <w:r w:rsidRPr="00FA6DC8">
      <w:rPr>
        <w:sz w:val="22"/>
        <w:szCs w:val="22"/>
      </w:rPr>
      <w:fldChar w:fldCharType="begin"/>
    </w:r>
    <w:r w:rsidRPr="00FA6DC8">
      <w:rPr>
        <w:sz w:val="22"/>
        <w:szCs w:val="22"/>
      </w:rPr>
      <w:instrText xml:space="preserve"> PAGE   \* MERGEFORMAT </w:instrText>
    </w:r>
    <w:r w:rsidRPr="00FA6DC8">
      <w:rPr>
        <w:sz w:val="22"/>
        <w:szCs w:val="22"/>
      </w:rPr>
      <w:fldChar w:fldCharType="separate"/>
    </w:r>
    <w:r>
      <w:rPr>
        <w:noProof/>
        <w:sz w:val="22"/>
        <w:szCs w:val="22"/>
      </w:rPr>
      <w:t>4</w:t>
    </w:r>
    <w:r w:rsidRPr="00FA6DC8">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6AE0" w14:textId="7D84925E" w:rsidR="005E1143" w:rsidRDefault="005E1143">
    <w:pPr>
      <w:pStyle w:val="Footer"/>
      <w:rPr>
        <w:rStyle w:val="PageNumber"/>
        <w:sz w:val="22"/>
      </w:rPr>
    </w:pPr>
    <w:r>
      <w:rPr>
        <w:rStyle w:val="PageNumber"/>
        <w:sz w:val="22"/>
      </w:rPr>
      <w:t>The notes to the financial statement are an integral part of this statement.</w:t>
    </w:r>
  </w:p>
  <w:p w14:paraId="3A140FE8" w14:textId="77777777" w:rsidR="005E1143" w:rsidRDefault="005E1143">
    <w:pPr>
      <w:pStyle w:val="Footer"/>
      <w:jc w:val="center"/>
      <w:rPr>
        <w:sz w:val="22"/>
        <w:szCs w:val="22"/>
      </w:rPr>
    </w:pPr>
    <w:r w:rsidRPr="00FA6DC8">
      <w:rPr>
        <w:sz w:val="22"/>
        <w:szCs w:val="22"/>
      </w:rPr>
      <w:fldChar w:fldCharType="begin"/>
    </w:r>
    <w:r w:rsidRPr="00FA6DC8">
      <w:rPr>
        <w:sz w:val="22"/>
        <w:szCs w:val="22"/>
      </w:rPr>
      <w:instrText xml:space="preserve"> PAGE   \* MERGEFORMAT </w:instrText>
    </w:r>
    <w:r w:rsidRPr="00FA6DC8">
      <w:rPr>
        <w:sz w:val="22"/>
        <w:szCs w:val="22"/>
      </w:rPr>
      <w:fldChar w:fldCharType="separate"/>
    </w:r>
    <w:r>
      <w:rPr>
        <w:noProof/>
        <w:sz w:val="22"/>
        <w:szCs w:val="22"/>
      </w:rPr>
      <w:t>4</w:t>
    </w:r>
    <w:r w:rsidRPr="00FA6DC8">
      <w:rP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9F0C" w14:textId="100A5D9D" w:rsidR="00FC7EEF" w:rsidRPr="00FC7EEF" w:rsidRDefault="00FC7EEF" w:rsidP="00FC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D59D" w14:textId="77777777" w:rsidR="00226B93" w:rsidRDefault="00226B93" w:rsidP="00445D1A">
      <w:r>
        <w:separator/>
      </w:r>
    </w:p>
  </w:footnote>
  <w:footnote w:type="continuationSeparator" w:id="0">
    <w:p w14:paraId="564CBC0E" w14:textId="77777777" w:rsidR="00226B93" w:rsidRDefault="00226B93" w:rsidP="004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943" w14:textId="77777777" w:rsidR="005E1143" w:rsidRDefault="005E11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8DA6" w14:textId="076B9464" w:rsidR="005E1143" w:rsidRDefault="005E1143">
    <w:pPr>
      <w:pStyle w:val="Heading1"/>
      <w:rPr>
        <w:b/>
        <w:bCs/>
        <w:sz w:val="22"/>
        <w:szCs w:val="22"/>
      </w:rPr>
    </w:pPr>
    <w:r w:rsidRPr="001A1203">
      <w:rPr>
        <w:b/>
        <w:bCs/>
        <w:sz w:val="22"/>
        <w:szCs w:val="22"/>
        <w:highlight w:val="yellow"/>
      </w:rPr>
      <w:t>______________</w:t>
    </w:r>
    <w:r>
      <w:rPr>
        <w:b/>
        <w:bCs/>
        <w:sz w:val="22"/>
        <w:szCs w:val="22"/>
      </w:rPr>
      <w:t xml:space="preserve"> COUNTY, OKLAHOMA</w:t>
    </w:r>
  </w:p>
  <w:p w14:paraId="5991E6A1" w14:textId="77777777" w:rsidR="005E1143" w:rsidRDefault="005E1143">
    <w:pPr>
      <w:pStyle w:val="Heading8"/>
      <w:rPr>
        <w:b/>
        <w:bCs/>
        <w:sz w:val="22"/>
      </w:rPr>
    </w:pPr>
    <w:r>
      <w:rPr>
        <w:b/>
        <w:bCs/>
        <w:sz w:val="22"/>
      </w:rPr>
      <w:t xml:space="preserve">STATEMENT OF RECEIPTS, DISBURSEMENTS, AND </w:t>
    </w:r>
  </w:p>
  <w:p w14:paraId="4D4999B6" w14:textId="77777777" w:rsidR="005E1143" w:rsidRDefault="005E1143">
    <w:pPr>
      <w:pStyle w:val="Heading8"/>
      <w:rPr>
        <w:b/>
        <w:bCs/>
        <w:sz w:val="22"/>
      </w:rPr>
    </w:pPr>
    <w:r>
      <w:rPr>
        <w:b/>
        <w:bCs/>
        <w:sz w:val="22"/>
      </w:rPr>
      <w:t>CHANGES IN CASH BALANCES—REGULATORY BASIS</w:t>
    </w:r>
  </w:p>
  <w:p w14:paraId="1B9AB230" w14:textId="77777777" w:rsidR="005E1143" w:rsidRDefault="005E1143">
    <w:pPr>
      <w:pStyle w:val="Heading8"/>
      <w:pBdr>
        <w:bottom w:val="thinThickSmallGap" w:sz="24" w:space="1" w:color="auto"/>
      </w:pBdr>
      <w:rPr>
        <w:b/>
        <w:bCs/>
        <w:sz w:val="22"/>
      </w:rPr>
    </w:pPr>
    <w:r>
      <w:rPr>
        <w:b/>
        <w:bCs/>
        <w:sz w:val="22"/>
      </w:rPr>
      <w:t xml:space="preserve">FOR THE FISCAL YEAR ENDED JUNE 30, </w:t>
    </w:r>
    <w:r w:rsidRPr="001A1203">
      <w:rPr>
        <w:b/>
        <w:bCs/>
        <w:sz w:val="22"/>
        <w:szCs w:val="22"/>
        <w:highlight w:val="yellow"/>
      </w:rPr>
      <w:t>____</w:t>
    </w:r>
  </w:p>
  <w:p w14:paraId="18B29177" w14:textId="77777777" w:rsidR="005E1143" w:rsidRDefault="005E1143">
    <w:pPr>
      <w:rPr>
        <w:b/>
        <w:bCs/>
        <w:sz w:val="22"/>
      </w:rPr>
    </w:pPr>
  </w:p>
  <w:p w14:paraId="15833449" w14:textId="77777777" w:rsidR="005E1143" w:rsidRDefault="005E114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B945" w14:textId="77777777" w:rsidR="005E1143" w:rsidRDefault="005E114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3697" w14:textId="77777777" w:rsidR="005E1143" w:rsidRDefault="005E1143" w:rsidP="00DF20BC">
    <w:pPr>
      <w:pStyle w:val="Header"/>
      <w:jc w:val="right"/>
      <w:rPr>
        <w:rFonts w:ascii="Times New Roman" w:hAnsi="Times New Roman"/>
        <w:b/>
        <w:bCs/>
        <w:sz w:val="22"/>
      </w:rPr>
    </w:pPr>
    <w:r w:rsidRPr="001A1203">
      <w:rPr>
        <w:rFonts w:ascii="Times New Roman" w:hAnsi="Times New Roman"/>
        <w:b/>
        <w:bCs/>
        <w:sz w:val="22"/>
        <w:highlight w:val="yellow"/>
      </w:rPr>
      <w:t>_____________</w:t>
    </w:r>
    <w:r>
      <w:rPr>
        <w:rFonts w:ascii="Times New Roman" w:hAnsi="Times New Roman"/>
        <w:b/>
        <w:bCs/>
        <w:sz w:val="22"/>
      </w:rPr>
      <w:t xml:space="preserve"> COUNTY, OKLAHOMA</w:t>
    </w:r>
  </w:p>
  <w:p w14:paraId="4F2E3577" w14:textId="77777777" w:rsidR="005E1143" w:rsidRDefault="005E1143" w:rsidP="00DF20BC">
    <w:pPr>
      <w:pStyle w:val="Header"/>
      <w:jc w:val="right"/>
      <w:rPr>
        <w:rFonts w:ascii="Times New Roman" w:hAnsi="Times New Roman"/>
        <w:b/>
        <w:bCs/>
        <w:sz w:val="22"/>
      </w:rPr>
    </w:pPr>
    <w:r>
      <w:rPr>
        <w:rFonts w:ascii="Times New Roman" w:hAnsi="Times New Roman"/>
        <w:b/>
        <w:bCs/>
        <w:sz w:val="22"/>
      </w:rPr>
      <w:t>NOTES TO THE FINANCIAL STATEMENT</w:t>
    </w:r>
  </w:p>
  <w:p w14:paraId="3AC604AD" w14:textId="77777777" w:rsidR="005E1143" w:rsidRDefault="005E1143" w:rsidP="00DF20BC">
    <w:pPr>
      <w:pStyle w:val="Header"/>
      <w:pBdr>
        <w:bottom w:val="thinThickSmallGap" w:sz="24" w:space="1" w:color="auto"/>
      </w:pBdr>
      <w:jc w:val="right"/>
      <w:rPr>
        <w:rFonts w:ascii="Times New Roman" w:hAnsi="Times New Roman"/>
        <w:b/>
        <w:bCs/>
        <w:sz w:val="22"/>
      </w:rPr>
    </w:pPr>
    <w:r>
      <w:rPr>
        <w:rFonts w:ascii="Times New Roman" w:hAnsi="Times New Roman"/>
        <w:b/>
        <w:bCs/>
        <w:sz w:val="22"/>
      </w:rPr>
      <w:t xml:space="preserve">FOR THE FISCAL YEAR ENDED JUNE 30, </w:t>
    </w:r>
    <w:r w:rsidRPr="001A1203">
      <w:rPr>
        <w:rFonts w:ascii="Times New Roman" w:hAnsi="Times New Roman"/>
        <w:b/>
        <w:bCs/>
        <w:sz w:val="22"/>
        <w:highlight w:val="yellow"/>
      </w:rPr>
      <w:t>____</w:t>
    </w:r>
  </w:p>
  <w:p w14:paraId="59AE30A5" w14:textId="77777777" w:rsidR="005E1143" w:rsidRPr="009F12AB" w:rsidRDefault="005E1143" w:rsidP="00DF20BC">
    <w:pPr>
      <w:pStyle w:val="Header"/>
      <w:jc w:val="right"/>
      <w:rPr>
        <w:rFonts w:ascii="Times New Roman" w:hAnsi="Times New Roman"/>
        <w:sz w:val="22"/>
        <w:szCs w:val="22"/>
      </w:rPr>
    </w:pPr>
  </w:p>
  <w:p w14:paraId="0A8D14F1" w14:textId="77777777" w:rsidR="005E1143" w:rsidRPr="009F12AB" w:rsidRDefault="005E1143" w:rsidP="00DF20BC">
    <w:pPr>
      <w:pStyle w:val="Header"/>
      <w:jc w:val="right"/>
      <w:rPr>
        <w:rFonts w:ascii="Times New Roman" w:hAnsi="Times New Roman"/>
        <w:sz w:val="22"/>
        <w:szCs w:val="22"/>
      </w:rPr>
    </w:pPr>
  </w:p>
  <w:p w14:paraId="08B04F3C" w14:textId="77777777" w:rsidR="005E1143" w:rsidRDefault="005E1143" w:rsidP="00416B24">
    <w:pPr>
      <w:rPr>
        <w:b/>
        <w:bCs/>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52EC" w14:textId="77777777" w:rsidR="005E1143" w:rsidRDefault="005E114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3D15" w14:textId="77777777" w:rsidR="00FC7EEF" w:rsidRPr="009F12AB" w:rsidRDefault="00FC7EEF" w:rsidP="00DF20BC">
    <w:pPr>
      <w:pStyle w:val="Header"/>
      <w:jc w:val="right"/>
      <w:rPr>
        <w:rFonts w:ascii="Times New Roman" w:hAnsi="Times New Roman"/>
        <w:sz w:val="22"/>
        <w:szCs w:val="22"/>
      </w:rPr>
    </w:pPr>
  </w:p>
  <w:p w14:paraId="389C26AC" w14:textId="77777777" w:rsidR="00FC7EEF" w:rsidRDefault="00FC7EEF" w:rsidP="00416B24">
    <w:pPr>
      <w:rPr>
        <w:b/>
        <w:bCs/>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EC98" w14:textId="77777777" w:rsidR="005E1143" w:rsidRDefault="005E1143">
    <w:pPr>
      <w:tabs>
        <w:tab w:val="center" w:pos="4680"/>
      </w:tabs>
      <w:jc w:val="right"/>
      <w:rPr>
        <w:b/>
        <w:bCs/>
        <w:sz w:val="22"/>
        <w:szCs w:val="22"/>
      </w:rPr>
    </w:pPr>
  </w:p>
  <w:p w14:paraId="26803CD7" w14:textId="77777777" w:rsidR="005E1143" w:rsidRDefault="005E1143">
    <w:pPr>
      <w:tabs>
        <w:tab w:val="center" w:pos="4680"/>
      </w:tabs>
      <w:jc w:val="right"/>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9047" w14:textId="77777777" w:rsidR="005E1143" w:rsidRDefault="005E11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EE8D" w14:textId="77777777" w:rsidR="005E1143" w:rsidRDefault="005E11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F6D5" w14:textId="77777777" w:rsidR="005E1143" w:rsidRDefault="005E114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A2CA" w14:textId="77777777" w:rsidR="005E1143" w:rsidRDefault="005E114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EC94" w14:textId="77777777" w:rsidR="005E1143" w:rsidRDefault="005E114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F733" w14:textId="77777777" w:rsidR="005E1143" w:rsidRDefault="005E1143">
    <w:pPr>
      <w:rPr>
        <w:b/>
        <w:bCs/>
        <w:sz w:val="22"/>
      </w:rPr>
    </w:pPr>
  </w:p>
  <w:p w14:paraId="654A2BBA" w14:textId="77777777" w:rsidR="005E1143" w:rsidRDefault="005E114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880F" w14:textId="77777777" w:rsidR="005E1143" w:rsidRDefault="005E1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FEB"/>
    <w:multiLevelType w:val="hybridMultilevel"/>
    <w:tmpl w:val="3ECC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E0BC4"/>
    <w:multiLevelType w:val="hybridMultilevel"/>
    <w:tmpl w:val="3700765E"/>
    <w:lvl w:ilvl="0" w:tplc="C0CE0E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B65459"/>
    <w:multiLevelType w:val="hybridMultilevel"/>
    <w:tmpl w:val="F7D65032"/>
    <w:lvl w:ilvl="0" w:tplc="7232427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0C7E5D"/>
    <w:multiLevelType w:val="hybridMultilevel"/>
    <w:tmpl w:val="09A2EA02"/>
    <w:lvl w:ilvl="0" w:tplc="64708412">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 w15:restartNumberingAfterBreak="0">
    <w:nsid w:val="12F613F9"/>
    <w:multiLevelType w:val="hybridMultilevel"/>
    <w:tmpl w:val="FD6011B6"/>
    <w:lvl w:ilvl="0" w:tplc="F1C47D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204B7E"/>
    <w:multiLevelType w:val="hybridMultilevel"/>
    <w:tmpl w:val="A66AD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678D2"/>
    <w:multiLevelType w:val="hybridMultilevel"/>
    <w:tmpl w:val="6C7AECAE"/>
    <w:lvl w:ilvl="0" w:tplc="893C3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FF1601"/>
    <w:multiLevelType w:val="hybridMultilevel"/>
    <w:tmpl w:val="36301A18"/>
    <w:lvl w:ilvl="0" w:tplc="394A2FF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816D4F"/>
    <w:multiLevelType w:val="hybridMultilevel"/>
    <w:tmpl w:val="91F6251A"/>
    <w:lvl w:ilvl="0" w:tplc="F1C47D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9B2E92"/>
    <w:multiLevelType w:val="hybridMultilevel"/>
    <w:tmpl w:val="950C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E04F7"/>
    <w:multiLevelType w:val="hybridMultilevel"/>
    <w:tmpl w:val="5E4CEA30"/>
    <w:lvl w:ilvl="0" w:tplc="AD482F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E93B15"/>
    <w:multiLevelType w:val="hybridMultilevel"/>
    <w:tmpl w:val="9E5CC616"/>
    <w:lvl w:ilvl="0" w:tplc="EDDA58CA">
      <w:start w:val="1"/>
      <w:numFmt w:val="bullet"/>
      <w:lvlText w:val="o"/>
      <w:lvlJc w:val="left"/>
      <w:pPr>
        <w:tabs>
          <w:tab w:val="num" w:pos="720"/>
        </w:tabs>
        <w:ind w:left="720" w:hanging="360"/>
      </w:pPr>
      <w:rPr>
        <w:rFonts w:ascii="Courier New" w:hAnsi="Courier New" w:hint="default"/>
      </w:rPr>
    </w:lvl>
    <w:lvl w:ilvl="1" w:tplc="9B081C84">
      <w:start w:val="1"/>
      <w:numFmt w:val="bullet"/>
      <w:lvlText w:val="o"/>
      <w:lvlJc w:val="left"/>
      <w:pPr>
        <w:tabs>
          <w:tab w:val="num" w:pos="1440"/>
        </w:tabs>
        <w:ind w:left="1440" w:hanging="360"/>
      </w:pPr>
      <w:rPr>
        <w:rFonts w:ascii="Courier New" w:hAnsi="Courier New" w:hint="default"/>
      </w:rPr>
    </w:lvl>
    <w:lvl w:ilvl="2" w:tplc="45F2BF3A" w:tentative="1">
      <w:start w:val="1"/>
      <w:numFmt w:val="bullet"/>
      <w:lvlText w:val="o"/>
      <w:lvlJc w:val="left"/>
      <w:pPr>
        <w:tabs>
          <w:tab w:val="num" w:pos="2160"/>
        </w:tabs>
        <w:ind w:left="2160" w:hanging="360"/>
      </w:pPr>
      <w:rPr>
        <w:rFonts w:ascii="Courier New" w:hAnsi="Courier New" w:hint="default"/>
      </w:rPr>
    </w:lvl>
    <w:lvl w:ilvl="3" w:tplc="B46C047C" w:tentative="1">
      <w:start w:val="1"/>
      <w:numFmt w:val="bullet"/>
      <w:lvlText w:val="o"/>
      <w:lvlJc w:val="left"/>
      <w:pPr>
        <w:tabs>
          <w:tab w:val="num" w:pos="2880"/>
        </w:tabs>
        <w:ind w:left="2880" w:hanging="360"/>
      </w:pPr>
      <w:rPr>
        <w:rFonts w:ascii="Courier New" w:hAnsi="Courier New" w:hint="default"/>
      </w:rPr>
    </w:lvl>
    <w:lvl w:ilvl="4" w:tplc="5204D724" w:tentative="1">
      <w:start w:val="1"/>
      <w:numFmt w:val="bullet"/>
      <w:lvlText w:val="o"/>
      <w:lvlJc w:val="left"/>
      <w:pPr>
        <w:tabs>
          <w:tab w:val="num" w:pos="3600"/>
        </w:tabs>
        <w:ind w:left="3600" w:hanging="360"/>
      </w:pPr>
      <w:rPr>
        <w:rFonts w:ascii="Courier New" w:hAnsi="Courier New" w:hint="default"/>
      </w:rPr>
    </w:lvl>
    <w:lvl w:ilvl="5" w:tplc="12244A9C" w:tentative="1">
      <w:start w:val="1"/>
      <w:numFmt w:val="bullet"/>
      <w:lvlText w:val="o"/>
      <w:lvlJc w:val="left"/>
      <w:pPr>
        <w:tabs>
          <w:tab w:val="num" w:pos="4320"/>
        </w:tabs>
        <w:ind w:left="4320" w:hanging="360"/>
      </w:pPr>
      <w:rPr>
        <w:rFonts w:ascii="Courier New" w:hAnsi="Courier New" w:hint="default"/>
      </w:rPr>
    </w:lvl>
    <w:lvl w:ilvl="6" w:tplc="AEE415A6" w:tentative="1">
      <w:start w:val="1"/>
      <w:numFmt w:val="bullet"/>
      <w:lvlText w:val="o"/>
      <w:lvlJc w:val="left"/>
      <w:pPr>
        <w:tabs>
          <w:tab w:val="num" w:pos="5040"/>
        </w:tabs>
        <w:ind w:left="5040" w:hanging="360"/>
      </w:pPr>
      <w:rPr>
        <w:rFonts w:ascii="Courier New" w:hAnsi="Courier New" w:hint="default"/>
      </w:rPr>
    </w:lvl>
    <w:lvl w:ilvl="7" w:tplc="FDCC2EAA" w:tentative="1">
      <w:start w:val="1"/>
      <w:numFmt w:val="bullet"/>
      <w:lvlText w:val="o"/>
      <w:lvlJc w:val="left"/>
      <w:pPr>
        <w:tabs>
          <w:tab w:val="num" w:pos="5760"/>
        </w:tabs>
        <w:ind w:left="5760" w:hanging="360"/>
      </w:pPr>
      <w:rPr>
        <w:rFonts w:ascii="Courier New" w:hAnsi="Courier New" w:hint="default"/>
      </w:rPr>
    </w:lvl>
    <w:lvl w:ilvl="8" w:tplc="88384062"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31914B73"/>
    <w:multiLevelType w:val="hybridMultilevel"/>
    <w:tmpl w:val="19FAE240"/>
    <w:lvl w:ilvl="0" w:tplc="A67A0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FC462C"/>
    <w:multiLevelType w:val="hybridMultilevel"/>
    <w:tmpl w:val="A1D01FAC"/>
    <w:lvl w:ilvl="0" w:tplc="F1C47D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706283"/>
    <w:multiLevelType w:val="hybridMultilevel"/>
    <w:tmpl w:val="F778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2F0612"/>
    <w:multiLevelType w:val="hybridMultilevel"/>
    <w:tmpl w:val="FC864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761434"/>
    <w:multiLevelType w:val="hybridMultilevel"/>
    <w:tmpl w:val="A2FADEF6"/>
    <w:lvl w:ilvl="0" w:tplc="F1C47D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EC4942"/>
    <w:multiLevelType w:val="hybridMultilevel"/>
    <w:tmpl w:val="508C9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2E435CA"/>
    <w:multiLevelType w:val="hybridMultilevel"/>
    <w:tmpl w:val="06D4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66B32"/>
    <w:multiLevelType w:val="hybridMultilevel"/>
    <w:tmpl w:val="F1108490"/>
    <w:lvl w:ilvl="0" w:tplc="A808A414">
      <w:start w:val="1"/>
      <w:numFmt w:val="decimal"/>
      <w:lvlText w:val="%1."/>
      <w:lvlJc w:val="left"/>
      <w:pPr>
        <w:tabs>
          <w:tab w:val="num" w:pos="720"/>
        </w:tabs>
        <w:ind w:left="720" w:hanging="360"/>
      </w:pPr>
      <w:rPr>
        <w:rFonts w:ascii="Arial Black" w:hAnsi="Arial Black" w:cs="Times New Roman" w:hint="default"/>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255C10"/>
    <w:multiLevelType w:val="hybridMultilevel"/>
    <w:tmpl w:val="FF02985C"/>
    <w:lvl w:ilvl="0" w:tplc="4BCE9796">
      <w:start w:val="9"/>
      <w:numFmt w:val="upperLetter"/>
      <w:pStyle w:val="Heading5"/>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5A6B160E"/>
    <w:multiLevelType w:val="hybridMultilevel"/>
    <w:tmpl w:val="F0F0E93E"/>
    <w:lvl w:ilvl="0" w:tplc="F1C47D8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B698A"/>
    <w:multiLevelType w:val="hybridMultilevel"/>
    <w:tmpl w:val="7324BE3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6A7424"/>
    <w:multiLevelType w:val="hybridMultilevel"/>
    <w:tmpl w:val="107CE48C"/>
    <w:lvl w:ilvl="0" w:tplc="8A72D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52181A"/>
    <w:multiLevelType w:val="hybridMultilevel"/>
    <w:tmpl w:val="83585128"/>
    <w:lvl w:ilvl="0" w:tplc="F6327C70">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0249058">
    <w:abstractNumId w:val="20"/>
  </w:num>
  <w:num w:numId="2" w16cid:durableId="1456367033">
    <w:abstractNumId w:val="16"/>
  </w:num>
  <w:num w:numId="3" w16cid:durableId="399791803">
    <w:abstractNumId w:val="21"/>
  </w:num>
  <w:num w:numId="4" w16cid:durableId="1837040317">
    <w:abstractNumId w:val="8"/>
  </w:num>
  <w:num w:numId="5" w16cid:durableId="12271089">
    <w:abstractNumId w:val="13"/>
  </w:num>
  <w:num w:numId="6" w16cid:durableId="1400591951">
    <w:abstractNumId w:val="4"/>
  </w:num>
  <w:num w:numId="7" w16cid:durableId="35739652">
    <w:abstractNumId w:val="19"/>
  </w:num>
  <w:num w:numId="8" w16cid:durableId="860512742">
    <w:abstractNumId w:val="24"/>
  </w:num>
  <w:num w:numId="9" w16cid:durableId="2016375510">
    <w:abstractNumId w:val="1"/>
  </w:num>
  <w:num w:numId="10" w16cid:durableId="659500265">
    <w:abstractNumId w:val="18"/>
  </w:num>
  <w:num w:numId="11" w16cid:durableId="1306854833">
    <w:abstractNumId w:val="2"/>
  </w:num>
  <w:num w:numId="12" w16cid:durableId="1599210863">
    <w:abstractNumId w:val="7"/>
  </w:num>
  <w:num w:numId="13" w16cid:durableId="1165243839">
    <w:abstractNumId w:val="12"/>
  </w:num>
  <w:num w:numId="14" w16cid:durableId="192571911">
    <w:abstractNumId w:val="17"/>
  </w:num>
  <w:num w:numId="15" w16cid:durableId="1502043300">
    <w:abstractNumId w:val="23"/>
  </w:num>
  <w:num w:numId="16" w16cid:durableId="40205379">
    <w:abstractNumId w:val="22"/>
  </w:num>
  <w:num w:numId="17" w16cid:durableId="104422810">
    <w:abstractNumId w:val="3"/>
  </w:num>
  <w:num w:numId="18" w16cid:durableId="760300501">
    <w:abstractNumId w:val="6"/>
  </w:num>
  <w:num w:numId="19" w16cid:durableId="556206960">
    <w:abstractNumId w:val="10"/>
  </w:num>
  <w:num w:numId="20" w16cid:durableId="1626152137">
    <w:abstractNumId w:val="14"/>
  </w:num>
  <w:num w:numId="21" w16cid:durableId="2012021621">
    <w:abstractNumId w:val="5"/>
  </w:num>
  <w:num w:numId="22" w16cid:durableId="1736931383">
    <w:abstractNumId w:val="0"/>
  </w:num>
  <w:num w:numId="23" w16cid:durableId="25444626">
    <w:abstractNumId w:val="11"/>
  </w:num>
  <w:num w:numId="24" w16cid:durableId="1258058999">
    <w:abstractNumId w:val="9"/>
  </w:num>
  <w:num w:numId="25" w16cid:durableId="145223875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5" fill="f" fillcolor="white" stroke="f">
      <v:fill color="white" on="f"/>
      <v:stroke on="f"/>
    </o:shapedefaults>
  </w:hdrShapeDefaults>
  <w:footnotePr>
    <w:numRestart w:val="eachPage"/>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0B8"/>
    <w:rsid w:val="00001EF2"/>
    <w:rsid w:val="00004861"/>
    <w:rsid w:val="00005DC4"/>
    <w:rsid w:val="00011AA4"/>
    <w:rsid w:val="000121EA"/>
    <w:rsid w:val="00012EF5"/>
    <w:rsid w:val="000132D3"/>
    <w:rsid w:val="00016E2A"/>
    <w:rsid w:val="0002140D"/>
    <w:rsid w:val="00021636"/>
    <w:rsid w:val="00021B33"/>
    <w:rsid w:val="0002741F"/>
    <w:rsid w:val="0003060B"/>
    <w:rsid w:val="00033AF7"/>
    <w:rsid w:val="00037100"/>
    <w:rsid w:val="000409F0"/>
    <w:rsid w:val="00043BF0"/>
    <w:rsid w:val="00044768"/>
    <w:rsid w:val="00053F7A"/>
    <w:rsid w:val="000543F0"/>
    <w:rsid w:val="00054964"/>
    <w:rsid w:val="00054E8C"/>
    <w:rsid w:val="00056E69"/>
    <w:rsid w:val="00056F9D"/>
    <w:rsid w:val="0005724C"/>
    <w:rsid w:val="0006049A"/>
    <w:rsid w:val="0006492B"/>
    <w:rsid w:val="00065E35"/>
    <w:rsid w:val="0007102E"/>
    <w:rsid w:val="000725A6"/>
    <w:rsid w:val="00072E8D"/>
    <w:rsid w:val="00073C98"/>
    <w:rsid w:val="0007401E"/>
    <w:rsid w:val="000776E2"/>
    <w:rsid w:val="00083970"/>
    <w:rsid w:val="0008523F"/>
    <w:rsid w:val="00086006"/>
    <w:rsid w:val="0008691B"/>
    <w:rsid w:val="000900E5"/>
    <w:rsid w:val="00092C39"/>
    <w:rsid w:val="00094A98"/>
    <w:rsid w:val="00095402"/>
    <w:rsid w:val="000959A9"/>
    <w:rsid w:val="000963EF"/>
    <w:rsid w:val="000A03A0"/>
    <w:rsid w:val="000A28A1"/>
    <w:rsid w:val="000A50BA"/>
    <w:rsid w:val="000B1709"/>
    <w:rsid w:val="000B1D45"/>
    <w:rsid w:val="000B25CC"/>
    <w:rsid w:val="000B53E9"/>
    <w:rsid w:val="000B5F87"/>
    <w:rsid w:val="000C003B"/>
    <w:rsid w:val="000C2DE1"/>
    <w:rsid w:val="000C3A67"/>
    <w:rsid w:val="000C3CEF"/>
    <w:rsid w:val="000C7E63"/>
    <w:rsid w:val="000D37D9"/>
    <w:rsid w:val="000D37EE"/>
    <w:rsid w:val="000D3BEC"/>
    <w:rsid w:val="000D634A"/>
    <w:rsid w:val="000E28B9"/>
    <w:rsid w:val="000E416B"/>
    <w:rsid w:val="000E5B1C"/>
    <w:rsid w:val="000F33E1"/>
    <w:rsid w:val="000F70C3"/>
    <w:rsid w:val="000F7CF3"/>
    <w:rsid w:val="001005C9"/>
    <w:rsid w:val="0010148C"/>
    <w:rsid w:val="001057CC"/>
    <w:rsid w:val="00105D81"/>
    <w:rsid w:val="00110401"/>
    <w:rsid w:val="00113858"/>
    <w:rsid w:val="00115BCD"/>
    <w:rsid w:val="001218E7"/>
    <w:rsid w:val="0012618C"/>
    <w:rsid w:val="0013039E"/>
    <w:rsid w:val="00134A66"/>
    <w:rsid w:val="00141373"/>
    <w:rsid w:val="00141654"/>
    <w:rsid w:val="00141DE6"/>
    <w:rsid w:val="001445A6"/>
    <w:rsid w:val="00144BD0"/>
    <w:rsid w:val="001452A0"/>
    <w:rsid w:val="0014725E"/>
    <w:rsid w:val="00151E15"/>
    <w:rsid w:val="001524D7"/>
    <w:rsid w:val="00154EF1"/>
    <w:rsid w:val="00160BB5"/>
    <w:rsid w:val="00161A71"/>
    <w:rsid w:val="001706A5"/>
    <w:rsid w:val="00173D01"/>
    <w:rsid w:val="0017438A"/>
    <w:rsid w:val="00174EC1"/>
    <w:rsid w:val="00175AE0"/>
    <w:rsid w:val="00181F43"/>
    <w:rsid w:val="00183B34"/>
    <w:rsid w:val="001842B5"/>
    <w:rsid w:val="00184F05"/>
    <w:rsid w:val="00185815"/>
    <w:rsid w:val="00185B68"/>
    <w:rsid w:val="0018662E"/>
    <w:rsid w:val="00187B24"/>
    <w:rsid w:val="00187E0F"/>
    <w:rsid w:val="0019162E"/>
    <w:rsid w:val="00192BDF"/>
    <w:rsid w:val="001A06A6"/>
    <w:rsid w:val="001A0765"/>
    <w:rsid w:val="001A1203"/>
    <w:rsid w:val="001A3DF8"/>
    <w:rsid w:val="001A3FBC"/>
    <w:rsid w:val="001A7E01"/>
    <w:rsid w:val="001B020F"/>
    <w:rsid w:val="001B0B64"/>
    <w:rsid w:val="001B10BD"/>
    <w:rsid w:val="001B2909"/>
    <w:rsid w:val="001B386D"/>
    <w:rsid w:val="001B455D"/>
    <w:rsid w:val="001B4E69"/>
    <w:rsid w:val="001B543B"/>
    <w:rsid w:val="001B7353"/>
    <w:rsid w:val="001C0E46"/>
    <w:rsid w:val="001C1287"/>
    <w:rsid w:val="001C2040"/>
    <w:rsid w:val="001C6A76"/>
    <w:rsid w:val="001C6BAB"/>
    <w:rsid w:val="001C6D36"/>
    <w:rsid w:val="001C6DC9"/>
    <w:rsid w:val="001D1F1C"/>
    <w:rsid w:val="001D3B6B"/>
    <w:rsid w:val="001E0A04"/>
    <w:rsid w:val="001E1618"/>
    <w:rsid w:val="001E2EFC"/>
    <w:rsid w:val="001E6A7B"/>
    <w:rsid w:val="001E6C7C"/>
    <w:rsid w:val="00203A2B"/>
    <w:rsid w:val="00203A98"/>
    <w:rsid w:val="002045D8"/>
    <w:rsid w:val="00205EC2"/>
    <w:rsid w:val="00205F54"/>
    <w:rsid w:val="0021312F"/>
    <w:rsid w:val="00215596"/>
    <w:rsid w:val="00215AD8"/>
    <w:rsid w:val="002168B0"/>
    <w:rsid w:val="0022098E"/>
    <w:rsid w:val="00222EC5"/>
    <w:rsid w:val="00223996"/>
    <w:rsid w:val="00226B93"/>
    <w:rsid w:val="00227D80"/>
    <w:rsid w:val="00230E01"/>
    <w:rsid w:val="00234409"/>
    <w:rsid w:val="0023487C"/>
    <w:rsid w:val="0023642A"/>
    <w:rsid w:val="00241BC9"/>
    <w:rsid w:val="00242A7D"/>
    <w:rsid w:val="002505C0"/>
    <w:rsid w:val="0025252E"/>
    <w:rsid w:val="002536A7"/>
    <w:rsid w:val="00257B7F"/>
    <w:rsid w:val="00260963"/>
    <w:rsid w:val="0026347E"/>
    <w:rsid w:val="00263771"/>
    <w:rsid w:val="002646E0"/>
    <w:rsid w:val="00264FDD"/>
    <w:rsid w:val="00265651"/>
    <w:rsid w:val="0027098A"/>
    <w:rsid w:val="00280A5F"/>
    <w:rsid w:val="00281C64"/>
    <w:rsid w:val="00286250"/>
    <w:rsid w:val="00290AA5"/>
    <w:rsid w:val="00295FC0"/>
    <w:rsid w:val="002963D3"/>
    <w:rsid w:val="002967E1"/>
    <w:rsid w:val="00297AF8"/>
    <w:rsid w:val="002A0451"/>
    <w:rsid w:val="002A067B"/>
    <w:rsid w:val="002A5C1A"/>
    <w:rsid w:val="002A5EBA"/>
    <w:rsid w:val="002A6C1E"/>
    <w:rsid w:val="002B0A30"/>
    <w:rsid w:val="002B1DCA"/>
    <w:rsid w:val="002B717C"/>
    <w:rsid w:val="002B77B7"/>
    <w:rsid w:val="002C1A41"/>
    <w:rsid w:val="002C2DE9"/>
    <w:rsid w:val="002C4FE8"/>
    <w:rsid w:val="002C7FC2"/>
    <w:rsid w:val="002E24BF"/>
    <w:rsid w:val="002E5929"/>
    <w:rsid w:val="002E6C06"/>
    <w:rsid w:val="002F0C41"/>
    <w:rsid w:val="002F4F93"/>
    <w:rsid w:val="002F53FD"/>
    <w:rsid w:val="002F7870"/>
    <w:rsid w:val="002F7BEC"/>
    <w:rsid w:val="00303153"/>
    <w:rsid w:val="0030381A"/>
    <w:rsid w:val="003078B4"/>
    <w:rsid w:val="00307A87"/>
    <w:rsid w:val="0031304A"/>
    <w:rsid w:val="00313183"/>
    <w:rsid w:val="0031594D"/>
    <w:rsid w:val="00315F62"/>
    <w:rsid w:val="003247E6"/>
    <w:rsid w:val="00326A67"/>
    <w:rsid w:val="003311D3"/>
    <w:rsid w:val="003326A4"/>
    <w:rsid w:val="00334C6D"/>
    <w:rsid w:val="00337C72"/>
    <w:rsid w:val="00342050"/>
    <w:rsid w:val="003462F9"/>
    <w:rsid w:val="00352121"/>
    <w:rsid w:val="0035311F"/>
    <w:rsid w:val="00355A2C"/>
    <w:rsid w:val="00362F57"/>
    <w:rsid w:val="003652CE"/>
    <w:rsid w:val="00370AC2"/>
    <w:rsid w:val="00371EAF"/>
    <w:rsid w:val="00372895"/>
    <w:rsid w:val="00373D55"/>
    <w:rsid w:val="00374947"/>
    <w:rsid w:val="003754FC"/>
    <w:rsid w:val="0037711C"/>
    <w:rsid w:val="003830BD"/>
    <w:rsid w:val="003856B0"/>
    <w:rsid w:val="00386F1D"/>
    <w:rsid w:val="00387F12"/>
    <w:rsid w:val="00391A71"/>
    <w:rsid w:val="00391FED"/>
    <w:rsid w:val="0039445C"/>
    <w:rsid w:val="003A1D1F"/>
    <w:rsid w:val="003A2DD6"/>
    <w:rsid w:val="003A3793"/>
    <w:rsid w:val="003A577B"/>
    <w:rsid w:val="003B03E5"/>
    <w:rsid w:val="003B1CA5"/>
    <w:rsid w:val="003B795F"/>
    <w:rsid w:val="003C00D7"/>
    <w:rsid w:val="003C0D35"/>
    <w:rsid w:val="003C190E"/>
    <w:rsid w:val="003C52D5"/>
    <w:rsid w:val="003C58C2"/>
    <w:rsid w:val="003C663E"/>
    <w:rsid w:val="003D2F7A"/>
    <w:rsid w:val="003D45C8"/>
    <w:rsid w:val="003D488F"/>
    <w:rsid w:val="003D5476"/>
    <w:rsid w:val="003D7F38"/>
    <w:rsid w:val="003E3584"/>
    <w:rsid w:val="003E55B6"/>
    <w:rsid w:val="003F16F5"/>
    <w:rsid w:val="003F579E"/>
    <w:rsid w:val="004030C1"/>
    <w:rsid w:val="00405463"/>
    <w:rsid w:val="004068A0"/>
    <w:rsid w:val="00406DEE"/>
    <w:rsid w:val="0041621F"/>
    <w:rsid w:val="00416B24"/>
    <w:rsid w:val="00421955"/>
    <w:rsid w:val="00427B25"/>
    <w:rsid w:val="00427E9C"/>
    <w:rsid w:val="00430AD7"/>
    <w:rsid w:val="004320CF"/>
    <w:rsid w:val="004345D1"/>
    <w:rsid w:val="004368A9"/>
    <w:rsid w:val="00440C8B"/>
    <w:rsid w:val="00441E67"/>
    <w:rsid w:val="00445D1A"/>
    <w:rsid w:val="00446B29"/>
    <w:rsid w:val="00450367"/>
    <w:rsid w:val="004553E8"/>
    <w:rsid w:val="0045659F"/>
    <w:rsid w:val="00456881"/>
    <w:rsid w:val="00462E2F"/>
    <w:rsid w:val="00463C03"/>
    <w:rsid w:val="00463D88"/>
    <w:rsid w:val="004701A3"/>
    <w:rsid w:val="00470B8C"/>
    <w:rsid w:val="00474679"/>
    <w:rsid w:val="004767F5"/>
    <w:rsid w:val="0048004B"/>
    <w:rsid w:val="004812C9"/>
    <w:rsid w:val="00482C08"/>
    <w:rsid w:val="0049074E"/>
    <w:rsid w:val="00497F58"/>
    <w:rsid w:val="004A23BF"/>
    <w:rsid w:val="004A371F"/>
    <w:rsid w:val="004B02CC"/>
    <w:rsid w:val="004B6861"/>
    <w:rsid w:val="004C0893"/>
    <w:rsid w:val="004C3079"/>
    <w:rsid w:val="004C33E7"/>
    <w:rsid w:val="004C345D"/>
    <w:rsid w:val="004C35D8"/>
    <w:rsid w:val="004C5466"/>
    <w:rsid w:val="004C779B"/>
    <w:rsid w:val="004D3D9C"/>
    <w:rsid w:val="004D6CE6"/>
    <w:rsid w:val="004D7998"/>
    <w:rsid w:val="004E72AA"/>
    <w:rsid w:val="004F0BC1"/>
    <w:rsid w:val="004F36BD"/>
    <w:rsid w:val="004F42A1"/>
    <w:rsid w:val="004F4F58"/>
    <w:rsid w:val="004F7BC1"/>
    <w:rsid w:val="00501956"/>
    <w:rsid w:val="005024E0"/>
    <w:rsid w:val="00502CCB"/>
    <w:rsid w:val="00503BB9"/>
    <w:rsid w:val="00503CFF"/>
    <w:rsid w:val="005048BB"/>
    <w:rsid w:val="00506378"/>
    <w:rsid w:val="00513223"/>
    <w:rsid w:val="00516452"/>
    <w:rsid w:val="005201DD"/>
    <w:rsid w:val="005203DC"/>
    <w:rsid w:val="00521121"/>
    <w:rsid w:val="005215B8"/>
    <w:rsid w:val="00525D2B"/>
    <w:rsid w:val="0053028F"/>
    <w:rsid w:val="00530B82"/>
    <w:rsid w:val="00531AD8"/>
    <w:rsid w:val="00532809"/>
    <w:rsid w:val="00534483"/>
    <w:rsid w:val="005364BE"/>
    <w:rsid w:val="005364F0"/>
    <w:rsid w:val="00542857"/>
    <w:rsid w:val="00542BDA"/>
    <w:rsid w:val="00553042"/>
    <w:rsid w:val="00556E4B"/>
    <w:rsid w:val="00557B26"/>
    <w:rsid w:val="00560337"/>
    <w:rsid w:val="00563CA7"/>
    <w:rsid w:val="005667F7"/>
    <w:rsid w:val="00566993"/>
    <w:rsid w:val="00566DDF"/>
    <w:rsid w:val="00570498"/>
    <w:rsid w:val="00571E3D"/>
    <w:rsid w:val="005727A6"/>
    <w:rsid w:val="005731B4"/>
    <w:rsid w:val="00573CEB"/>
    <w:rsid w:val="00574D21"/>
    <w:rsid w:val="00575FAA"/>
    <w:rsid w:val="00581E78"/>
    <w:rsid w:val="0058259F"/>
    <w:rsid w:val="00585965"/>
    <w:rsid w:val="00585E2F"/>
    <w:rsid w:val="00587198"/>
    <w:rsid w:val="00591B4C"/>
    <w:rsid w:val="005977BA"/>
    <w:rsid w:val="005A1774"/>
    <w:rsid w:val="005A365C"/>
    <w:rsid w:val="005B09DB"/>
    <w:rsid w:val="005B3204"/>
    <w:rsid w:val="005C0794"/>
    <w:rsid w:val="005D0D1E"/>
    <w:rsid w:val="005D23FB"/>
    <w:rsid w:val="005D3281"/>
    <w:rsid w:val="005D5AE5"/>
    <w:rsid w:val="005E1143"/>
    <w:rsid w:val="005E2E66"/>
    <w:rsid w:val="005F1345"/>
    <w:rsid w:val="005F3500"/>
    <w:rsid w:val="005F5831"/>
    <w:rsid w:val="005F622C"/>
    <w:rsid w:val="005F6BA9"/>
    <w:rsid w:val="005F7E3C"/>
    <w:rsid w:val="00602DEA"/>
    <w:rsid w:val="00604EF5"/>
    <w:rsid w:val="00605744"/>
    <w:rsid w:val="00606135"/>
    <w:rsid w:val="00611B30"/>
    <w:rsid w:val="006124FE"/>
    <w:rsid w:val="00612AA8"/>
    <w:rsid w:val="00612C95"/>
    <w:rsid w:val="006217CF"/>
    <w:rsid w:val="00630B28"/>
    <w:rsid w:val="006418A0"/>
    <w:rsid w:val="006500D1"/>
    <w:rsid w:val="00652FE8"/>
    <w:rsid w:val="00654F8A"/>
    <w:rsid w:val="0065507A"/>
    <w:rsid w:val="006552CB"/>
    <w:rsid w:val="006612FD"/>
    <w:rsid w:val="00661F42"/>
    <w:rsid w:val="00664257"/>
    <w:rsid w:val="00664A57"/>
    <w:rsid w:val="00665E0A"/>
    <w:rsid w:val="0068020D"/>
    <w:rsid w:val="006816C0"/>
    <w:rsid w:val="00682B97"/>
    <w:rsid w:val="00690724"/>
    <w:rsid w:val="006929F0"/>
    <w:rsid w:val="0069370F"/>
    <w:rsid w:val="006B0B74"/>
    <w:rsid w:val="006B45E6"/>
    <w:rsid w:val="006C10C5"/>
    <w:rsid w:val="006C46A2"/>
    <w:rsid w:val="006C5D59"/>
    <w:rsid w:val="006C5E97"/>
    <w:rsid w:val="006D1918"/>
    <w:rsid w:val="006D32BF"/>
    <w:rsid w:val="006D32E2"/>
    <w:rsid w:val="006D4F1B"/>
    <w:rsid w:val="006E0184"/>
    <w:rsid w:val="006E0CE3"/>
    <w:rsid w:val="006E0E9A"/>
    <w:rsid w:val="006E129A"/>
    <w:rsid w:val="006E2494"/>
    <w:rsid w:val="006E5F7B"/>
    <w:rsid w:val="006E6D4A"/>
    <w:rsid w:val="006F34ED"/>
    <w:rsid w:val="006F6C2E"/>
    <w:rsid w:val="007004A3"/>
    <w:rsid w:val="007012BC"/>
    <w:rsid w:val="00701622"/>
    <w:rsid w:val="007067BB"/>
    <w:rsid w:val="00707E10"/>
    <w:rsid w:val="0071774E"/>
    <w:rsid w:val="007216AE"/>
    <w:rsid w:val="007217E1"/>
    <w:rsid w:val="00726C0E"/>
    <w:rsid w:val="00727137"/>
    <w:rsid w:val="00731D3B"/>
    <w:rsid w:val="00732404"/>
    <w:rsid w:val="00732900"/>
    <w:rsid w:val="0073304B"/>
    <w:rsid w:val="00733526"/>
    <w:rsid w:val="0073376B"/>
    <w:rsid w:val="00734C9B"/>
    <w:rsid w:val="00743D41"/>
    <w:rsid w:val="0074580E"/>
    <w:rsid w:val="007474E8"/>
    <w:rsid w:val="00747F6A"/>
    <w:rsid w:val="00753887"/>
    <w:rsid w:val="0075569A"/>
    <w:rsid w:val="00755CBD"/>
    <w:rsid w:val="00756C75"/>
    <w:rsid w:val="007576AB"/>
    <w:rsid w:val="0076184B"/>
    <w:rsid w:val="007620A7"/>
    <w:rsid w:val="00762B6C"/>
    <w:rsid w:val="00766D13"/>
    <w:rsid w:val="00773965"/>
    <w:rsid w:val="007749B6"/>
    <w:rsid w:val="007757D3"/>
    <w:rsid w:val="00776310"/>
    <w:rsid w:val="00777074"/>
    <w:rsid w:val="00781729"/>
    <w:rsid w:val="00782E4C"/>
    <w:rsid w:val="00783D3C"/>
    <w:rsid w:val="007851B7"/>
    <w:rsid w:val="00787434"/>
    <w:rsid w:val="00793791"/>
    <w:rsid w:val="00795297"/>
    <w:rsid w:val="007955FF"/>
    <w:rsid w:val="007A0C46"/>
    <w:rsid w:val="007A0F0D"/>
    <w:rsid w:val="007A0F20"/>
    <w:rsid w:val="007A2800"/>
    <w:rsid w:val="007A3601"/>
    <w:rsid w:val="007A37E2"/>
    <w:rsid w:val="007A3DA5"/>
    <w:rsid w:val="007A3E3D"/>
    <w:rsid w:val="007A5011"/>
    <w:rsid w:val="007B2A15"/>
    <w:rsid w:val="007C115B"/>
    <w:rsid w:val="007C4ABD"/>
    <w:rsid w:val="007C7BB1"/>
    <w:rsid w:val="007D078F"/>
    <w:rsid w:val="007D3CC1"/>
    <w:rsid w:val="007D4B9E"/>
    <w:rsid w:val="007D5171"/>
    <w:rsid w:val="007E16EA"/>
    <w:rsid w:val="007E5848"/>
    <w:rsid w:val="007E6463"/>
    <w:rsid w:val="007E6741"/>
    <w:rsid w:val="007F2EE2"/>
    <w:rsid w:val="007F4D8A"/>
    <w:rsid w:val="007F63DB"/>
    <w:rsid w:val="007F7116"/>
    <w:rsid w:val="00800200"/>
    <w:rsid w:val="00805CDF"/>
    <w:rsid w:val="0080635E"/>
    <w:rsid w:val="008107B8"/>
    <w:rsid w:val="00810CEF"/>
    <w:rsid w:val="00813581"/>
    <w:rsid w:val="008171DB"/>
    <w:rsid w:val="00817FBB"/>
    <w:rsid w:val="00820957"/>
    <w:rsid w:val="00831A25"/>
    <w:rsid w:val="008339AF"/>
    <w:rsid w:val="00833F4B"/>
    <w:rsid w:val="008360C1"/>
    <w:rsid w:val="00836F3E"/>
    <w:rsid w:val="0084112E"/>
    <w:rsid w:val="008425D9"/>
    <w:rsid w:val="00842E66"/>
    <w:rsid w:val="008432E8"/>
    <w:rsid w:val="00845FE1"/>
    <w:rsid w:val="0084637D"/>
    <w:rsid w:val="0084727D"/>
    <w:rsid w:val="00847CB7"/>
    <w:rsid w:val="00850F3B"/>
    <w:rsid w:val="00851C7F"/>
    <w:rsid w:val="00855444"/>
    <w:rsid w:val="00855C08"/>
    <w:rsid w:val="0085751F"/>
    <w:rsid w:val="008603A2"/>
    <w:rsid w:val="00861812"/>
    <w:rsid w:val="00861F39"/>
    <w:rsid w:val="008642A4"/>
    <w:rsid w:val="0087605D"/>
    <w:rsid w:val="00881168"/>
    <w:rsid w:val="008814B6"/>
    <w:rsid w:val="0088301E"/>
    <w:rsid w:val="008837E7"/>
    <w:rsid w:val="008841B6"/>
    <w:rsid w:val="008876B0"/>
    <w:rsid w:val="00890F51"/>
    <w:rsid w:val="00892F3C"/>
    <w:rsid w:val="008932D7"/>
    <w:rsid w:val="008962DA"/>
    <w:rsid w:val="00897487"/>
    <w:rsid w:val="008A4721"/>
    <w:rsid w:val="008A4E93"/>
    <w:rsid w:val="008A59EB"/>
    <w:rsid w:val="008B1C8A"/>
    <w:rsid w:val="008B33FB"/>
    <w:rsid w:val="008B430F"/>
    <w:rsid w:val="008B5FD7"/>
    <w:rsid w:val="008B6BBD"/>
    <w:rsid w:val="008B7D3E"/>
    <w:rsid w:val="008C047E"/>
    <w:rsid w:val="008C44C6"/>
    <w:rsid w:val="008C5812"/>
    <w:rsid w:val="008C5FE2"/>
    <w:rsid w:val="008C6F3F"/>
    <w:rsid w:val="008D11F7"/>
    <w:rsid w:val="008D2CBD"/>
    <w:rsid w:val="008D3FF8"/>
    <w:rsid w:val="008D4B60"/>
    <w:rsid w:val="008E56A3"/>
    <w:rsid w:val="008F7AFF"/>
    <w:rsid w:val="009110CF"/>
    <w:rsid w:val="009118F5"/>
    <w:rsid w:val="00911E5C"/>
    <w:rsid w:val="009140B5"/>
    <w:rsid w:val="00915521"/>
    <w:rsid w:val="00915A66"/>
    <w:rsid w:val="00920FBC"/>
    <w:rsid w:val="0092186A"/>
    <w:rsid w:val="009276FC"/>
    <w:rsid w:val="00927E5C"/>
    <w:rsid w:val="00936166"/>
    <w:rsid w:val="009366B9"/>
    <w:rsid w:val="009370ED"/>
    <w:rsid w:val="00937663"/>
    <w:rsid w:val="00943610"/>
    <w:rsid w:val="00946F30"/>
    <w:rsid w:val="00957539"/>
    <w:rsid w:val="00964624"/>
    <w:rsid w:val="00964D47"/>
    <w:rsid w:val="00971AE1"/>
    <w:rsid w:val="00975176"/>
    <w:rsid w:val="00976B8A"/>
    <w:rsid w:val="00981C43"/>
    <w:rsid w:val="00991ABC"/>
    <w:rsid w:val="009924E0"/>
    <w:rsid w:val="00993C51"/>
    <w:rsid w:val="009942CE"/>
    <w:rsid w:val="009949DA"/>
    <w:rsid w:val="009A1520"/>
    <w:rsid w:val="009A1EDE"/>
    <w:rsid w:val="009A3429"/>
    <w:rsid w:val="009A51FD"/>
    <w:rsid w:val="009A7330"/>
    <w:rsid w:val="009A7EFF"/>
    <w:rsid w:val="009B7793"/>
    <w:rsid w:val="009C066B"/>
    <w:rsid w:val="009C10A2"/>
    <w:rsid w:val="009C2146"/>
    <w:rsid w:val="009C4149"/>
    <w:rsid w:val="009C4BF6"/>
    <w:rsid w:val="009C4E74"/>
    <w:rsid w:val="009C7520"/>
    <w:rsid w:val="009D0ADC"/>
    <w:rsid w:val="009D0C8F"/>
    <w:rsid w:val="009D1CC5"/>
    <w:rsid w:val="009D507E"/>
    <w:rsid w:val="009D740C"/>
    <w:rsid w:val="009E09AF"/>
    <w:rsid w:val="009E1FEB"/>
    <w:rsid w:val="009E4D66"/>
    <w:rsid w:val="009E685D"/>
    <w:rsid w:val="009F12AB"/>
    <w:rsid w:val="009F1611"/>
    <w:rsid w:val="009F3B8F"/>
    <w:rsid w:val="009F4882"/>
    <w:rsid w:val="009F51BE"/>
    <w:rsid w:val="00A00279"/>
    <w:rsid w:val="00A00809"/>
    <w:rsid w:val="00A05440"/>
    <w:rsid w:val="00A06416"/>
    <w:rsid w:val="00A07098"/>
    <w:rsid w:val="00A15A53"/>
    <w:rsid w:val="00A17729"/>
    <w:rsid w:val="00A22BD6"/>
    <w:rsid w:val="00A23608"/>
    <w:rsid w:val="00A263D6"/>
    <w:rsid w:val="00A2731A"/>
    <w:rsid w:val="00A277F5"/>
    <w:rsid w:val="00A27BED"/>
    <w:rsid w:val="00A365C3"/>
    <w:rsid w:val="00A42AF7"/>
    <w:rsid w:val="00A505D5"/>
    <w:rsid w:val="00A506C5"/>
    <w:rsid w:val="00A530B8"/>
    <w:rsid w:val="00A5691D"/>
    <w:rsid w:val="00A56FCC"/>
    <w:rsid w:val="00A603DA"/>
    <w:rsid w:val="00A61A64"/>
    <w:rsid w:val="00A6448E"/>
    <w:rsid w:val="00A65E8F"/>
    <w:rsid w:val="00A664D2"/>
    <w:rsid w:val="00A66528"/>
    <w:rsid w:val="00A71924"/>
    <w:rsid w:val="00A75DCF"/>
    <w:rsid w:val="00A80A04"/>
    <w:rsid w:val="00A82055"/>
    <w:rsid w:val="00A8551E"/>
    <w:rsid w:val="00A8624F"/>
    <w:rsid w:val="00A902D8"/>
    <w:rsid w:val="00A92297"/>
    <w:rsid w:val="00AA7D9B"/>
    <w:rsid w:val="00AA7E6C"/>
    <w:rsid w:val="00AA7F10"/>
    <w:rsid w:val="00AB2313"/>
    <w:rsid w:val="00AC06A4"/>
    <w:rsid w:val="00AC36A9"/>
    <w:rsid w:val="00AC4E34"/>
    <w:rsid w:val="00AC57E1"/>
    <w:rsid w:val="00AD3930"/>
    <w:rsid w:val="00AE088E"/>
    <w:rsid w:val="00AE243F"/>
    <w:rsid w:val="00AE26CF"/>
    <w:rsid w:val="00AE389F"/>
    <w:rsid w:val="00AE4D6B"/>
    <w:rsid w:val="00AE5BB0"/>
    <w:rsid w:val="00AF068A"/>
    <w:rsid w:val="00AF1E23"/>
    <w:rsid w:val="00AF3254"/>
    <w:rsid w:val="00AF7A19"/>
    <w:rsid w:val="00B03E22"/>
    <w:rsid w:val="00B04B21"/>
    <w:rsid w:val="00B17513"/>
    <w:rsid w:val="00B17A1D"/>
    <w:rsid w:val="00B25EE0"/>
    <w:rsid w:val="00B30A4A"/>
    <w:rsid w:val="00B32124"/>
    <w:rsid w:val="00B4035F"/>
    <w:rsid w:val="00B42604"/>
    <w:rsid w:val="00B4342B"/>
    <w:rsid w:val="00B435E8"/>
    <w:rsid w:val="00B436FE"/>
    <w:rsid w:val="00B444FF"/>
    <w:rsid w:val="00B45EDC"/>
    <w:rsid w:val="00B51A11"/>
    <w:rsid w:val="00B525CA"/>
    <w:rsid w:val="00B57C9E"/>
    <w:rsid w:val="00B6047F"/>
    <w:rsid w:val="00B60E21"/>
    <w:rsid w:val="00B630B6"/>
    <w:rsid w:val="00B66CD2"/>
    <w:rsid w:val="00B733D7"/>
    <w:rsid w:val="00B73FE9"/>
    <w:rsid w:val="00B80A6A"/>
    <w:rsid w:val="00B86AA1"/>
    <w:rsid w:val="00B9585B"/>
    <w:rsid w:val="00B95CC1"/>
    <w:rsid w:val="00BA0E75"/>
    <w:rsid w:val="00BA4C10"/>
    <w:rsid w:val="00BA591F"/>
    <w:rsid w:val="00BA5D63"/>
    <w:rsid w:val="00BA5D91"/>
    <w:rsid w:val="00BB00D1"/>
    <w:rsid w:val="00BB64D2"/>
    <w:rsid w:val="00BB7E5C"/>
    <w:rsid w:val="00BC15ED"/>
    <w:rsid w:val="00BC3B8A"/>
    <w:rsid w:val="00BC5414"/>
    <w:rsid w:val="00BC717E"/>
    <w:rsid w:val="00BC7354"/>
    <w:rsid w:val="00BC7CBA"/>
    <w:rsid w:val="00BD1B1F"/>
    <w:rsid w:val="00BE2A30"/>
    <w:rsid w:val="00BE7146"/>
    <w:rsid w:val="00BE7D89"/>
    <w:rsid w:val="00BF2CEB"/>
    <w:rsid w:val="00BF5B40"/>
    <w:rsid w:val="00BF6848"/>
    <w:rsid w:val="00BF758A"/>
    <w:rsid w:val="00C03626"/>
    <w:rsid w:val="00C05515"/>
    <w:rsid w:val="00C11301"/>
    <w:rsid w:val="00C11C19"/>
    <w:rsid w:val="00C11F65"/>
    <w:rsid w:val="00C12E85"/>
    <w:rsid w:val="00C13561"/>
    <w:rsid w:val="00C14ABA"/>
    <w:rsid w:val="00C15334"/>
    <w:rsid w:val="00C16FA6"/>
    <w:rsid w:val="00C201AB"/>
    <w:rsid w:val="00C21426"/>
    <w:rsid w:val="00C22F68"/>
    <w:rsid w:val="00C23641"/>
    <w:rsid w:val="00C24A4A"/>
    <w:rsid w:val="00C24D5D"/>
    <w:rsid w:val="00C274CD"/>
    <w:rsid w:val="00C32C76"/>
    <w:rsid w:val="00C33588"/>
    <w:rsid w:val="00C33B91"/>
    <w:rsid w:val="00C3600D"/>
    <w:rsid w:val="00C36F1E"/>
    <w:rsid w:val="00C40096"/>
    <w:rsid w:val="00C40793"/>
    <w:rsid w:val="00C4197E"/>
    <w:rsid w:val="00C41C7C"/>
    <w:rsid w:val="00C45659"/>
    <w:rsid w:val="00C4581C"/>
    <w:rsid w:val="00C47B49"/>
    <w:rsid w:val="00C51436"/>
    <w:rsid w:val="00C5361F"/>
    <w:rsid w:val="00C56556"/>
    <w:rsid w:val="00C57415"/>
    <w:rsid w:val="00C601F8"/>
    <w:rsid w:val="00C6137D"/>
    <w:rsid w:val="00C620AC"/>
    <w:rsid w:val="00C62F73"/>
    <w:rsid w:val="00C65492"/>
    <w:rsid w:val="00C65979"/>
    <w:rsid w:val="00C65E6A"/>
    <w:rsid w:val="00C711CE"/>
    <w:rsid w:val="00C7156A"/>
    <w:rsid w:val="00C724B0"/>
    <w:rsid w:val="00C72721"/>
    <w:rsid w:val="00C7438E"/>
    <w:rsid w:val="00C744A1"/>
    <w:rsid w:val="00C746A6"/>
    <w:rsid w:val="00C77070"/>
    <w:rsid w:val="00C816B1"/>
    <w:rsid w:val="00C87553"/>
    <w:rsid w:val="00C90E44"/>
    <w:rsid w:val="00C92EF7"/>
    <w:rsid w:val="00CA111C"/>
    <w:rsid w:val="00CA1835"/>
    <w:rsid w:val="00CA3CD7"/>
    <w:rsid w:val="00CB28B0"/>
    <w:rsid w:val="00CB3A0C"/>
    <w:rsid w:val="00CB5ACE"/>
    <w:rsid w:val="00CB66F6"/>
    <w:rsid w:val="00CB67A9"/>
    <w:rsid w:val="00CD06A9"/>
    <w:rsid w:val="00CD2CFD"/>
    <w:rsid w:val="00CD5A92"/>
    <w:rsid w:val="00CD6AB1"/>
    <w:rsid w:val="00CD7234"/>
    <w:rsid w:val="00CE05DF"/>
    <w:rsid w:val="00CE0A99"/>
    <w:rsid w:val="00CE23E9"/>
    <w:rsid w:val="00CE3054"/>
    <w:rsid w:val="00CE3436"/>
    <w:rsid w:val="00CE6BB0"/>
    <w:rsid w:val="00CE76F2"/>
    <w:rsid w:val="00CF1F09"/>
    <w:rsid w:val="00CF4606"/>
    <w:rsid w:val="00D0238A"/>
    <w:rsid w:val="00D026EF"/>
    <w:rsid w:val="00D0454F"/>
    <w:rsid w:val="00D05745"/>
    <w:rsid w:val="00D10CDE"/>
    <w:rsid w:val="00D1377A"/>
    <w:rsid w:val="00D157A9"/>
    <w:rsid w:val="00D157F2"/>
    <w:rsid w:val="00D16364"/>
    <w:rsid w:val="00D1795B"/>
    <w:rsid w:val="00D21041"/>
    <w:rsid w:val="00D23C3B"/>
    <w:rsid w:val="00D24162"/>
    <w:rsid w:val="00D25491"/>
    <w:rsid w:val="00D256AC"/>
    <w:rsid w:val="00D26100"/>
    <w:rsid w:val="00D31A07"/>
    <w:rsid w:val="00D32058"/>
    <w:rsid w:val="00D32678"/>
    <w:rsid w:val="00D34A1A"/>
    <w:rsid w:val="00D351D4"/>
    <w:rsid w:val="00D42051"/>
    <w:rsid w:val="00D46166"/>
    <w:rsid w:val="00D4635A"/>
    <w:rsid w:val="00D53BEC"/>
    <w:rsid w:val="00D57F68"/>
    <w:rsid w:val="00D60555"/>
    <w:rsid w:val="00D60D79"/>
    <w:rsid w:val="00D61969"/>
    <w:rsid w:val="00D6516C"/>
    <w:rsid w:val="00D65822"/>
    <w:rsid w:val="00D67E2C"/>
    <w:rsid w:val="00D72F38"/>
    <w:rsid w:val="00D73347"/>
    <w:rsid w:val="00D80181"/>
    <w:rsid w:val="00D807C2"/>
    <w:rsid w:val="00D859DC"/>
    <w:rsid w:val="00D87557"/>
    <w:rsid w:val="00D902A6"/>
    <w:rsid w:val="00D90E63"/>
    <w:rsid w:val="00D96117"/>
    <w:rsid w:val="00D9668C"/>
    <w:rsid w:val="00DA1902"/>
    <w:rsid w:val="00DA2C3C"/>
    <w:rsid w:val="00DA4301"/>
    <w:rsid w:val="00DA4D16"/>
    <w:rsid w:val="00DA735B"/>
    <w:rsid w:val="00DB07FA"/>
    <w:rsid w:val="00DB29D5"/>
    <w:rsid w:val="00DB310F"/>
    <w:rsid w:val="00DC38D6"/>
    <w:rsid w:val="00DC53D6"/>
    <w:rsid w:val="00DC76EA"/>
    <w:rsid w:val="00DD07B1"/>
    <w:rsid w:val="00DD68F3"/>
    <w:rsid w:val="00DD7A1B"/>
    <w:rsid w:val="00DF0C26"/>
    <w:rsid w:val="00DF20BC"/>
    <w:rsid w:val="00DF28F2"/>
    <w:rsid w:val="00DF2FBA"/>
    <w:rsid w:val="00DF4996"/>
    <w:rsid w:val="00E02398"/>
    <w:rsid w:val="00E05CF5"/>
    <w:rsid w:val="00E12401"/>
    <w:rsid w:val="00E12569"/>
    <w:rsid w:val="00E13702"/>
    <w:rsid w:val="00E15228"/>
    <w:rsid w:val="00E16315"/>
    <w:rsid w:val="00E16741"/>
    <w:rsid w:val="00E17F11"/>
    <w:rsid w:val="00E23B95"/>
    <w:rsid w:val="00E25AC1"/>
    <w:rsid w:val="00E301A9"/>
    <w:rsid w:val="00E37736"/>
    <w:rsid w:val="00E43484"/>
    <w:rsid w:val="00E43C61"/>
    <w:rsid w:val="00E45443"/>
    <w:rsid w:val="00E46765"/>
    <w:rsid w:val="00E474C5"/>
    <w:rsid w:val="00E50384"/>
    <w:rsid w:val="00E51116"/>
    <w:rsid w:val="00E52804"/>
    <w:rsid w:val="00E5306C"/>
    <w:rsid w:val="00E5329E"/>
    <w:rsid w:val="00E548F9"/>
    <w:rsid w:val="00E60671"/>
    <w:rsid w:val="00E61DF4"/>
    <w:rsid w:val="00E6382A"/>
    <w:rsid w:val="00E638AD"/>
    <w:rsid w:val="00E65868"/>
    <w:rsid w:val="00E7085F"/>
    <w:rsid w:val="00E70CA3"/>
    <w:rsid w:val="00E72E72"/>
    <w:rsid w:val="00E74CE6"/>
    <w:rsid w:val="00E768F0"/>
    <w:rsid w:val="00E81B8E"/>
    <w:rsid w:val="00E83A31"/>
    <w:rsid w:val="00E841C5"/>
    <w:rsid w:val="00E84679"/>
    <w:rsid w:val="00E857B4"/>
    <w:rsid w:val="00E8644D"/>
    <w:rsid w:val="00E871EF"/>
    <w:rsid w:val="00E8765F"/>
    <w:rsid w:val="00E9016B"/>
    <w:rsid w:val="00E90709"/>
    <w:rsid w:val="00E91F6E"/>
    <w:rsid w:val="00E924DE"/>
    <w:rsid w:val="00E94A6C"/>
    <w:rsid w:val="00E97272"/>
    <w:rsid w:val="00EA145C"/>
    <w:rsid w:val="00EA1A14"/>
    <w:rsid w:val="00EA1A75"/>
    <w:rsid w:val="00EA1C19"/>
    <w:rsid w:val="00EA27A2"/>
    <w:rsid w:val="00EA4BF9"/>
    <w:rsid w:val="00EA6123"/>
    <w:rsid w:val="00EA67B9"/>
    <w:rsid w:val="00EA6CE7"/>
    <w:rsid w:val="00EA7A3E"/>
    <w:rsid w:val="00EB026B"/>
    <w:rsid w:val="00EB49A3"/>
    <w:rsid w:val="00EB525B"/>
    <w:rsid w:val="00EB7D3B"/>
    <w:rsid w:val="00EC2ECB"/>
    <w:rsid w:val="00EC48E6"/>
    <w:rsid w:val="00EC5C50"/>
    <w:rsid w:val="00EC7D37"/>
    <w:rsid w:val="00ED3D38"/>
    <w:rsid w:val="00ED54DF"/>
    <w:rsid w:val="00ED5781"/>
    <w:rsid w:val="00EE213C"/>
    <w:rsid w:val="00EE43D4"/>
    <w:rsid w:val="00EE4597"/>
    <w:rsid w:val="00EE4698"/>
    <w:rsid w:val="00EF2135"/>
    <w:rsid w:val="00EF66AB"/>
    <w:rsid w:val="00F00499"/>
    <w:rsid w:val="00F0057F"/>
    <w:rsid w:val="00F015C5"/>
    <w:rsid w:val="00F0490D"/>
    <w:rsid w:val="00F0586A"/>
    <w:rsid w:val="00F0663A"/>
    <w:rsid w:val="00F07F08"/>
    <w:rsid w:val="00F120B5"/>
    <w:rsid w:val="00F13F27"/>
    <w:rsid w:val="00F16698"/>
    <w:rsid w:val="00F2084A"/>
    <w:rsid w:val="00F22BFA"/>
    <w:rsid w:val="00F234B1"/>
    <w:rsid w:val="00F263B1"/>
    <w:rsid w:val="00F32F4D"/>
    <w:rsid w:val="00F33D2F"/>
    <w:rsid w:val="00F34613"/>
    <w:rsid w:val="00F364B7"/>
    <w:rsid w:val="00F402B8"/>
    <w:rsid w:val="00F41478"/>
    <w:rsid w:val="00F466A3"/>
    <w:rsid w:val="00F46B9E"/>
    <w:rsid w:val="00F4746A"/>
    <w:rsid w:val="00F553F2"/>
    <w:rsid w:val="00F5765F"/>
    <w:rsid w:val="00F61B74"/>
    <w:rsid w:val="00F64367"/>
    <w:rsid w:val="00F64F40"/>
    <w:rsid w:val="00F66188"/>
    <w:rsid w:val="00F668F0"/>
    <w:rsid w:val="00F71C79"/>
    <w:rsid w:val="00F71D04"/>
    <w:rsid w:val="00F75B2A"/>
    <w:rsid w:val="00F774E0"/>
    <w:rsid w:val="00F80FAC"/>
    <w:rsid w:val="00F816A7"/>
    <w:rsid w:val="00F82E42"/>
    <w:rsid w:val="00F83299"/>
    <w:rsid w:val="00F8333E"/>
    <w:rsid w:val="00F84D07"/>
    <w:rsid w:val="00F84D94"/>
    <w:rsid w:val="00F85C69"/>
    <w:rsid w:val="00F924CD"/>
    <w:rsid w:val="00F93D96"/>
    <w:rsid w:val="00F9761B"/>
    <w:rsid w:val="00F97D86"/>
    <w:rsid w:val="00FA36F0"/>
    <w:rsid w:val="00FA555A"/>
    <w:rsid w:val="00FA6DC8"/>
    <w:rsid w:val="00FC0B1F"/>
    <w:rsid w:val="00FC19D0"/>
    <w:rsid w:val="00FC1C75"/>
    <w:rsid w:val="00FC3FC3"/>
    <w:rsid w:val="00FC5CF6"/>
    <w:rsid w:val="00FC7D68"/>
    <w:rsid w:val="00FC7EEF"/>
    <w:rsid w:val="00FD2381"/>
    <w:rsid w:val="00FD62C8"/>
    <w:rsid w:val="00FD6631"/>
    <w:rsid w:val="00FE1C16"/>
    <w:rsid w:val="00FF03DF"/>
    <w:rsid w:val="00FF1501"/>
    <w:rsid w:val="00FF1A17"/>
    <w:rsid w:val="00FF21A7"/>
    <w:rsid w:val="00FF28C5"/>
    <w:rsid w:val="00FF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5" fill="f" fillcolor="white" stroke="f">
      <v:fill color="white" on="f"/>
      <v:stroke on="f"/>
    </o:shapedefaults>
    <o:shapelayout v:ext="edit">
      <o:idmap v:ext="edit" data="2"/>
    </o:shapelayout>
  </w:shapeDefaults>
  <w:decimalSymbol w:val="."/>
  <w:listSeparator w:val=","/>
  <w14:docId w14:val="0D2F1B92"/>
  <w15:docId w15:val="{B021F7E8-C438-4A24-A45D-00283E89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35"/>
    <w:pPr>
      <w:widowControl w:val="0"/>
      <w:autoSpaceDE w:val="0"/>
      <w:autoSpaceDN w:val="0"/>
      <w:adjustRightInd w:val="0"/>
    </w:pPr>
  </w:style>
  <w:style w:type="paragraph" w:styleId="Heading1">
    <w:name w:val="heading 1"/>
    <w:basedOn w:val="Normal"/>
    <w:next w:val="Normal"/>
    <w:link w:val="Heading1Char"/>
    <w:uiPriority w:val="99"/>
    <w:qFormat/>
    <w:rsid w:val="00CA1835"/>
    <w:pPr>
      <w:keepNext/>
      <w:jc w:val="center"/>
      <w:outlineLvl w:val="0"/>
    </w:pPr>
    <w:rPr>
      <w:sz w:val="24"/>
      <w:szCs w:val="24"/>
    </w:rPr>
  </w:style>
  <w:style w:type="paragraph" w:styleId="Heading2">
    <w:name w:val="heading 2"/>
    <w:basedOn w:val="Normal"/>
    <w:next w:val="Normal"/>
    <w:link w:val="Heading2Char"/>
    <w:uiPriority w:val="99"/>
    <w:qFormat/>
    <w:rsid w:val="00CA1835"/>
    <w:pPr>
      <w:keepNext/>
      <w:tabs>
        <w:tab w:val="right" w:pos="9360"/>
      </w:tabs>
      <w:jc w:val="both"/>
      <w:outlineLvl w:val="1"/>
    </w:pPr>
    <w:rPr>
      <w:sz w:val="24"/>
      <w:szCs w:val="24"/>
    </w:rPr>
  </w:style>
  <w:style w:type="paragraph" w:styleId="Heading3">
    <w:name w:val="heading 3"/>
    <w:basedOn w:val="Normal"/>
    <w:next w:val="Normal"/>
    <w:link w:val="Heading3Char"/>
    <w:uiPriority w:val="99"/>
    <w:qFormat/>
    <w:rsid w:val="00CA1835"/>
    <w:pPr>
      <w:keepNext/>
      <w:jc w:val="center"/>
      <w:outlineLvl w:val="2"/>
    </w:pPr>
    <w:rPr>
      <w:b/>
      <w:bCs/>
      <w:sz w:val="22"/>
      <w:szCs w:val="22"/>
    </w:rPr>
  </w:style>
  <w:style w:type="paragraph" w:styleId="Heading4">
    <w:name w:val="heading 4"/>
    <w:basedOn w:val="Normal"/>
    <w:next w:val="Normal"/>
    <w:link w:val="Heading4Char"/>
    <w:uiPriority w:val="99"/>
    <w:qFormat/>
    <w:rsid w:val="00CA1835"/>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right"/>
      <w:outlineLvl w:val="3"/>
    </w:pPr>
    <w:rPr>
      <w:sz w:val="22"/>
      <w:szCs w:val="22"/>
      <w:u w:val="single"/>
    </w:rPr>
  </w:style>
  <w:style w:type="paragraph" w:styleId="Heading5">
    <w:name w:val="heading 5"/>
    <w:basedOn w:val="Normal"/>
    <w:next w:val="Normal"/>
    <w:link w:val="Heading5Char"/>
    <w:uiPriority w:val="99"/>
    <w:qFormat/>
    <w:rsid w:val="00CA1835"/>
    <w:pPr>
      <w:keepNext/>
      <w:widowControl/>
      <w:numPr>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both"/>
      <w:outlineLvl w:val="4"/>
    </w:pPr>
    <w:rPr>
      <w:sz w:val="22"/>
      <w:szCs w:val="22"/>
      <w:u w:val="single"/>
    </w:rPr>
  </w:style>
  <w:style w:type="paragraph" w:styleId="Heading6">
    <w:name w:val="heading 6"/>
    <w:basedOn w:val="Normal"/>
    <w:next w:val="Normal"/>
    <w:link w:val="Heading6Char"/>
    <w:uiPriority w:val="99"/>
    <w:qFormat/>
    <w:rsid w:val="00CA1835"/>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720"/>
      </w:tabs>
      <w:jc w:val="center"/>
      <w:outlineLvl w:val="5"/>
    </w:pPr>
    <w:rPr>
      <w:sz w:val="22"/>
      <w:szCs w:val="22"/>
      <w:u w:val="single"/>
    </w:rPr>
  </w:style>
  <w:style w:type="paragraph" w:styleId="Heading7">
    <w:name w:val="heading 7"/>
    <w:basedOn w:val="Normal"/>
    <w:next w:val="Normal"/>
    <w:link w:val="Heading7Char"/>
    <w:uiPriority w:val="99"/>
    <w:qFormat/>
    <w:rsid w:val="00CA1835"/>
    <w:pPr>
      <w:keepNext/>
      <w:jc w:val="both"/>
      <w:outlineLvl w:val="6"/>
    </w:pPr>
    <w:rPr>
      <w:sz w:val="22"/>
      <w:szCs w:val="22"/>
      <w:u w:val="single"/>
    </w:rPr>
  </w:style>
  <w:style w:type="paragraph" w:styleId="Heading8">
    <w:name w:val="heading 8"/>
    <w:basedOn w:val="Normal"/>
    <w:next w:val="Normal"/>
    <w:link w:val="Heading8Char"/>
    <w:uiPriority w:val="99"/>
    <w:qFormat/>
    <w:rsid w:val="00CA1835"/>
    <w:pPr>
      <w:keepNext/>
      <w:tabs>
        <w:tab w:val="center" w:pos="4680"/>
      </w:tabs>
      <w:jc w:val="center"/>
      <w:outlineLvl w:val="7"/>
    </w:pPr>
    <w:rPr>
      <w:sz w:val="28"/>
      <w:szCs w:val="28"/>
    </w:rPr>
  </w:style>
  <w:style w:type="paragraph" w:styleId="Heading9">
    <w:name w:val="heading 9"/>
    <w:basedOn w:val="Normal"/>
    <w:next w:val="Normal"/>
    <w:link w:val="Heading9Char"/>
    <w:uiPriority w:val="99"/>
    <w:qFormat/>
    <w:rsid w:val="00CA1835"/>
    <w:pPr>
      <w:keepNext/>
      <w:tabs>
        <w:tab w:val="center" w:pos="4680"/>
      </w:tabs>
      <w:jc w:val="right"/>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12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F112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rsid w:val="004F112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F112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rsid w:val="004F112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F112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F1128"/>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F1128"/>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locked/>
    <w:rsid w:val="00AE4D6B"/>
    <w:rPr>
      <w:rFonts w:cs="Times New Roman"/>
      <w:b/>
      <w:bCs/>
      <w:sz w:val="22"/>
      <w:szCs w:val="22"/>
    </w:rPr>
  </w:style>
  <w:style w:type="paragraph" w:styleId="Footer">
    <w:name w:val="footer"/>
    <w:basedOn w:val="Normal"/>
    <w:link w:val="FooterChar"/>
    <w:uiPriority w:val="99"/>
    <w:rsid w:val="00CA1835"/>
    <w:pPr>
      <w:tabs>
        <w:tab w:val="center" w:pos="4320"/>
        <w:tab w:val="right" w:pos="8640"/>
      </w:tabs>
    </w:pPr>
  </w:style>
  <w:style w:type="character" w:customStyle="1" w:styleId="FooterChar">
    <w:name w:val="Footer Char"/>
    <w:basedOn w:val="DefaultParagraphFont"/>
    <w:link w:val="Footer"/>
    <w:uiPriority w:val="99"/>
    <w:locked/>
    <w:rsid w:val="00AE4D6B"/>
    <w:rPr>
      <w:rFonts w:cs="Times New Roman"/>
    </w:rPr>
  </w:style>
  <w:style w:type="character" w:styleId="PageNumber">
    <w:name w:val="page number"/>
    <w:basedOn w:val="DefaultParagraphFont"/>
    <w:rsid w:val="00CA1835"/>
    <w:rPr>
      <w:rFonts w:cs="Times New Roman"/>
    </w:rPr>
  </w:style>
  <w:style w:type="paragraph" w:styleId="BodyText">
    <w:name w:val="Body Text"/>
    <w:basedOn w:val="Normal"/>
    <w:link w:val="BodyTextChar"/>
    <w:rsid w:val="00CA1835"/>
    <w:pPr>
      <w:jc w:val="both"/>
    </w:pPr>
    <w:rPr>
      <w:sz w:val="24"/>
      <w:szCs w:val="24"/>
    </w:rPr>
  </w:style>
  <w:style w:type="character" w:customStyle="1" w:styleId="BodyTextChar">
    <w:name w:val="Body Text Char"/>
    <w:basedOn w:val="DefaultParagraphFont"/>
    <w:link w:val="BodyText"/>
    <w:locked/>
    <w:rsid w:val="00AE4D6B"/>
    <w:rPr>
      <w:rFonts w:cs="Times New Roman"/>
      <w:sz w:val="24"/>
      <w:szCs w:val="24"/>
    </w:rPr>
  </w:style>
  <w:style w:type="paragraph" w:styleId="BlockText">
    <w:name w:val="Block Text"/>
    <w:basedOn w:val="Normal"/>
    <w:uiPriority w:val="99"/>
    <w:rsid w:val="00CA1835"/>
    <w:pPr>
      <w:autoSpaceDE/>
      <w:autoSpaceDN/>
      <w:adjustRightInd/>
      <w:ind w:left="720" w:right="720"/>
    </w:pPr>
    <w:rPr>
      <w:sz w:val="22"/>
      <w:szCs w:val="22"/>
    </w:rPr>
  </w:style>
  <w:style w:type="paragraph" w:styleId="BodyTextIndent">
    <w:name w:val="Body Text Indent"/>
    <w:basedOn w:val="Normal"/>
    <w:link w:val="BodyTextIndentChar"/>
    <w:rsid w:val="00CA1835"/>
    <w:pPr>
      <w:widowControl/>
      <w:ind w:left="720"/>
      <w:jc w:val="both"/>
    </w:pPr>
  </w:style>
  <w:style w:type="character" w:customStyle="1" w:styleId="BodyTextIndentChar">
    <w:name w:val="Body Text Indent Char"/>
    <w:basedOn w:val="DefaultParagraphFont"/>
    <w:link w:val="BodyTextIndent"/>
    <w:uiPriority w:val="99"/>
    <w:locked/>
    <w:rsid w:val="00E9016B"/>
    <w:rPr>
      <w:rFonts w:cs="Times New Roman"/>
    </w:rPr>
  </w:style>
  <w:style w:type="paragraph" w:styleId="Header">
    <w:name w:val="header"/>
    <w:basedOn w:val="Normal"/>
    <w:link w:val="HeaderChar"/>
    <w:uiPriority w:val="99"/>
    <w:rsid w:val="00CA1835"/>
    <w:pPr>
      <w:tabs>
        <w:tab w:val="center" w:pos="4320"/>
        <w:tab w:val="right" w:pos="8640"/>
      </w:tabs>
    </w:pPr>
    <w:rPr>
      <w:rFonts w:ascii="Courier" w:hAnsi="Courier"/>
    </w:rPr>
  </w:style>
  <w:style w:type="character" w:customStyle="1" w:styleId="HeaderChar">
    <w:name w:val="Header Char"/>
    <w:basedOn w:val="DefaultParagraphFont"/>
    <w:link w:val="Header"/>
    <w:uiPriority w:val="99"/>
    <w:locked/>
    <w:rsid w:val="00CB28B0"/>
    <w:rPr>
      <w:rFonts w:ascii="Courier" w:hAnsi="Courier" w:cs="Times New Roman"/>
    </w:rPr>
  </w:style>
  <w:style w:type="paragraph" w:styleId="BodyTextIndent2">
    <w:name w:val="Body Text Indent 2"/>
    <w:basedOn w:val="Normal"/>
    <w:link w:val="BodyTextIndent2Char"/>
    <w:uiPriority w:val="99"/>
    <w:rsid w:val="00CA1835"/>
    <w:pPr>
      <w:widowControl/>
      <w:ind w:left="720" w:hanging="720"/>
      <w:jc w:val="both"/>
    </w:pPr>
  </w:style>
  <w:style w:type="character" w:customStyle="1" w:styleId="BodyTextIndent2Char">
    <w:name w:val="Body Text Indent 2 Char"/>
    <w:basedOn w:val="DefaultParagraphFont"/>
    <w:link w:val="BodyTextIndent2"/>
    <w:uiPriority w:val="99"/>
    <w:semiHidden/>
    <w:rsid w:val="004F1128"/>
    <w:rPr>
      <w:sz w:val="20"/>
      <w:szCs w:val="20"/>
    </w:rPr>
  </w:style>
  <w:style w:type="paragraph" w:styleId="BodyTextIndent3">
    <w:name w:val="Body Text Indent 3"/>
    <w:basedOn w:val="Normal"/>
    <w:link w:val="BodyTextIndent3Char"/>
    <w:rsid w:val="00CA1835"/>
    <w:pPr>
      <w:widowControl/>
      <w:ind w:left="720"/>
      <w:jc w:val="both"/>
    </w:pPr>
    <w:rPr>
      <w:sz w:val="22"/>
      <w:szCs w:val="22"/>
    </w:rPr>
  </w:style>
  <w:style w:type="character" w:customStyle="1" w:styleId="BodyTextIndent3Char">
    <w:name w:val="Body Text Indent 3 Char"/>
    <w:basedOn w:val="DefaultParagraphFont"/>
    <w:link w:val="BodyTextIndent3"/>
    <w:locked/>
    <w:rsid w:val="0002741F"/>
    <w:rPr>
      <w:rFonts w:cs="Times New Roman"/>
      <w:sz w:val="22"/>
      <w:szCs w:val="22"/>
    </w:rPr>
  </w:style>
  <w:style w:type="paragraph" w:styleId="BodyText2">
    <w:name w:val="Body Text 2"/>
    <w:basedOn w:val="Normal"/>
    <w:link w:val="BodyText2Char"/>
    <w:rsid w:val="00CA1835"/>
    <w:pPr>
      <w:jc w:val="both"/>
    </w:pPr>
    <w:rPr>
      <w:sz w:val="22"/>
      <w:szCs w:val="22"/>
    </w:rPr>
  </w:style>
  <w:style w:type="character" w:customStyle="1" w:styleId="BodyText2Char">
    <w:name w:val="Body Text 2 Char"/>
    <w:basedOn w:val="DefaultParagraphFont"/>
    <w:link w:val="BodyText2"/>
    <w:uiPriority w:val="99"/>
    <w:semiHidden/>
    <w:rsid w:val="004F1128"/>
    <w:rPr>
      <w:sz w:val="20"/>
      <w:szCs w:val="20"/>
    </w:rPr>
  </w:style>
  <w:style w:type="paragraph" w:styleId="BodyText3">
    <w:name w:val="Body Text 3"/>
    <w:basedOn w:val="Normal"/>
    <w:link w:val="BodyText3Char"/>
    <w:rsid w:val="00CA1835"/>
    <w:rPr>
      <w:sz w:val="22"/>
    </w:rPr>
  </w:style>
  <w:style w:type="character" w:customStyle="1" w:styleId="BodyText3Char">
    <w:name w:val="Body Text 3 Char"/>
    <w:basedOn w:val="DefaultParagraphFont"/>
    <w:link w:val="BodyText3"/>
    <w:uiPriority w:val="99"/>
    <w:semiHidden/>
    <w:rsid w:val="004F1128"/>
    <w:rPr>
      <w:sz w:val="16"/>
      <w:szCs w:val="16"/>
    </w:rPr>
  </w:style>
  <w:style w:type="paragraph" w:styleId="Caption">
    <w:name w:val="caption"/>
    <w:basedOn w:val="Normal"/>
    <w:next w:val="Normal"/>
    <w:uiPriority w:val="99"/>
    <w:qFormat/>
    <w:rsid w:val="00CA1835"/>
    <w:pPr>
      <w:widowControl/>
      <w:tabs>
        <w:tab w:val="left" w:pos="-1440"/>
      </w:tabs>
      <w:autoSpaceDE/>
      <w:autoSpaceDN/>
      <w:adjustRightInd/>
      <w:ind w:left="720"/>
      <w:jc w:val="both"/>
    </w:pPr>
    <w:rPr>
      <w:sz w:val="22"/>
      <w:szCs w:val="24"/>
      <w:u w:val="single"/>
    </w:rPr>
  </w:style>
  <w:style w:type="paragraph" w:customStyle="1" w:styleId="xl23">
    <w:name w:val="xl23"/>
    <w:basedOn w:val="Normal"/>
    <w:rsid w:val="00CA1835"/>
    <w:pPr>
      <w:widowControl/>
      <w:autoSpaceDE/>
      <w:autoSpaceDN/>
      <w:adjustRightInd/>
      <w:spacing w:before="100" w:beforeAutospacing="1" w:after="100" w:afterAutospacing="1"/>
    </w:pPr>
    <w:rPr>
      <w:rFonts w:eastAsia="Arial Unicode MS"/>
      <w:sz w:val="22"/>
      <w:szCs w:val="22"/>
    </w:rPr>
  </w:style>
  <w:style w:type="paragraph" w:customStyle="1" w:styleId="xl24">
    <w:name w:val="xl24"/>
    <w:basedOn w:val="Normal"/>
    <w:rsid w:val="00CA1835"/>
    <w:pPr>
      <w:widowControl/>
      <w:autoSpaceDE/>
      <w:autoSpaceDN/>
      <w:adjustRightInd/>
      <w:spacing w:before="100" w:beforeAutospacing="1" w:after="100" w:afterAutospacing="1"/>
      <w:jc w:val="center"/>
    </w:pPr>
    <w:rPr>
      <w:rFonts w:eastAsia="Arial Unicode MS"/>
      <w:sz w:val="22"/>
      <w:szCs w:val="22"/>
    </w:rPr>
  </w:style>
  <w:style w:type="paragraph" w:customStyle="1" w:styleId="xl25">
    <w:name w:val="xl25"/>
    <w:basedOn w:val="Normal"/>
    <w:uiPriority w:val="99"/>
    <w:rsid w:val="00CA1835"/>
    <w:pPr>
      <w:widowControl/>
      <w:pBdr>
        <w:bottom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26">
    <w:name w:val="xl26"/>
    <w:basedOn w:val="Normal"/>
    <w:uiPriority w:val="99"/>
    <w:rsid w:val="00CA1835"/>
    <w:pPr>
      <w:widowControl/>
      <w:pBdr>
        <w:top w:val="single" w:sz="4" w:space="0" w:color="auto"/>
        <w:bottom w:val="single" w:sz="4" w:space="0" w:color="auto"/>
      </w:pBdr>
      <w:autoSpaceDE/>
      <w:autoSpaceDN/>
      <w:adjustRightInd/>
      <w:spacing w:before="100" w:beforeAutospacing="1" w:after="100" w:afterAutospacing="1"/>
    </w:pPr>
    <w:rPr>
      <w:rFonts w:eastAsia="Arial Unicode MS"/>
      <w:sz w:val="22"/>
      <w:szCs w:val="22"/>
    </w:rPr>
  </w:style>
  <w:style w:type="paragraph" w:customStyle="1" w:styleId="xl27">
    <w:name w:val="xl27"/>
    <w:basedOn w:val="Normal"/>
    <w:uiPriority w:val="99"/>
    <w:rsid w:val="00CA1835"/>
    <w:pPr>
      <w:widowControl/>
      <w:autoSpaceDE/>
      <w:autoSpaceDN/>
      <w:adjustRightInd/>
      <w:spacing w:before="100" w:beforeAutospacing="1" w:after="100" w:afterAutospacing="1"/>
      <w:ind w:firstLineChars="100" w:firstLine="100"/>
    </w:pPr>
    <w:rPr>
      <w:rFonts w:eastAsia="Arial Unicode MS"/>
      <w:sz w:val="22"/>
      <w:szCs w:val="22"/>
    </w:rPr>
  </w:style>
  <w:style w:type="paragraph" w:customStyle="1" w:styleId="xl28">
    <w:name w:val="xl28"/>
    <w:basedOn w:val="Normal"/>
    <w:uiPriority w:val="99"/>
    <w:rsid w:val="00CA1835"/>
    <w:pPr>
      <w:widowControl/>
      <w:pBdr>
        <w:top w:val="single" w:sz="4" w:space="0" w:color="auto"/>
        <w:bottom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29">
    <w:name w:val="xl29"/>
    <w:basedOn w:val="Normal"/>
    <w:uiPriority w:val="99"/>
    <w:rsid w:val="00CA1835"/>
    <w:pPr>
      <w:widowControl/>
      <w:pBdr>
        <w:top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30">
    <w:name w:val="xl30"/>
    <w:basedOn w:val="Normal"/>
    <w:uiPriority w:val="99"/>
    <w:rsid w:val="00CA1835"/>
    <w:pPr>
      <w:widowControl/>
      <w:pBdr>
        <w:top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31">
    <w:name w:val="xl31"/>
    <w:basedOn w:val="Normal"/>
    <w:uiPriority w:val="99"/>
    <w:rsid w:val="00CA1835"/>
    <w:pPr>
      <w:widowControl/>
      <w:pBdr>
        <w:top w:val="single" w:sz="4" w:space="0" w:color="auto"/>
      </w:pBdr>
      <w:autoSpaceDE/>
      <w:autoSpaceDN/>
      <w:adjustRightInd/>
      <w:spacing w:before="100" w:beforeAutospacing="1" w:after="100" w:afterAutospacing="1"/>
      <w:jc w:val="center"/>
    </w:pPr>
    <w:rPr>
      <w:rFonts w:eastAsia="Arial Unicode MS"/>
      <w:sz w:val="22"/>
      <w:szCs w:val="22"/>
    </w:rPr>
  </w:style>
  <w:style w:type="paragraph" w:customStyle="1" w:styleId="xl32">
    <w:name w:val="xl32"/>
    <w:basedOn w:val="Normal"/>
    <w:uiPriority w:val="99"/>
    <w:rsid w:val="00CA1835"/>
    <w:pPr>
      <w:widowControl/>
      <w:autoSpaceDE/>
      <w:autoSpaceDN/>
      <w:adjustRightInd/>
      <w:spacing w:before="100" w:beforeAutospacing="1" w:after="100" w:afterAutospacing="1"/>
    </w:pPr>
    <w:rPr>
      <w:rFonts w:eastAsia="Arial Unicode MS"/>
      <w:sz w:val="22"/>
      <w:szCs w:val="22"/>
    </w:rPr>
  </w:style>
  <w:style w:type="paragraph" w:customStyle="1" w:styleId="xl33">
    <w:name w:val="xl33"/>
    <w:basedOn w:val="Normal"/>
    <w:uiPriority w:val="99"/>
    <w:rsid w:val="00CA1835"/>
    <w:pPr>
      <w:widowControl/>
      <w:pBdr>
        <w:bottom w:val="single" w:sz="8" w:space="0" w:color="auto"/>
      </w:pBdr>
      <w:autoSpaceDE/>
      <w:autoSpaceDN/>
      <w:adjustRightInd/>
      <w:spacing w:before="100" w:beforeAutospacing="1" w:after="100" w:afterAutospacing="1"/>
      <w:jc w:val="center"/>
    </w:pPr>
    <w:rPr>
      <w:rFonts w:eastAsia="Arial Unicode MS"/>
      <w:sz w:val="22"/>
      <w:szCs w:val="22"/>
    </w:rPr>
  </w:style>
  <w:style w:type="paragraph" w:styleId="List2">
    <w:name w:val="List 2"/>
    <w:basedOn w:val="Normal"/>
    <w:uiPriority w:val="99"/>
    <w:rsid w:val="00CA1835"/>
    <w:pPr>
      <w:widowControl/>
      <w:autoSpaceDE/>
      <w:autoSpaceDN/>
      <w:adjustRightInd/>
      <w:ind w:left="720" w:hanging="360"/>
    </w:pPr>
    <w:rPr>
      <w:rFonts w:ascii="Copperplate Gothic Light" w:hAnsi="Copperplate Gothic Light"/>
      <w:sz w:val="16"/>
      <w:szCs w:val="24"/>
    </w:rPr>
  </w:style>
  <w:style w:type="paragraph" w:styleId="Title">
    <w:name w:val="Title"/>
    <w:basedOn w:val="Normal"/>
    <w:link w:val="TitleChar"/>
    <w:uiPriority w:val="99"/>
    <w:qFormat/>
    <w:rsid w:val="00CA1835"/>
    <w:pPr>
      <w:jc w:val="center"/>
    </w:pPr>
    <w:rPr>
      <w:b/>
      <w:bCs/>
      <w:sz w:val="22"/>
      <w:szCs w:val="22"/>
    </w:rPr>
  </w:style>
  <w:style w:type="character" w:customStyle="1" w:styleId="TitleChar">
    <w:name w:val="Title Char"/>
    <w:basedOn w:val="DefaultParagraphFont"/>
    <w:link w:val="Title"/>
    <w:uiPriority w:val="10"/>
    <w:rsid w:val="004F1128"/>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rsid w:val="00AE4D6B"/>
    <w:rPr>
      <w:rFonts w:cs="Times New Roman"/>
      <w:sz w:val="16"/>
      <w:szCs w:val="16"/>
    </w:rPr>
  </w:style>
  <w:style w:type="paragraph" w:styleId="CommentText">
    <w:name w:val="annotation text"/>
    <w:basedOn w:val="Normal"/>
    <w:link w:val="CommentTextChar"/>
    <w:uiPriority w:val="99"/>
    <w:semiHidden/>
    <w:rsid w:val="00AE4D6B"/>
  </w:style>
  <w:style w:type="character" w:customStyle="1" w:styleId="CommentTextChar">
    <w:name w:val="Comment Text Char"/>
    <w:basedOn w:val="DefaultParagraphFont"/>
    <w:link w:val="CommentText"/>
    <w:uiPriority w:val="99"/>
    <w:semiHidden/>
    <w:locked/>
    <w:rsid w:val="00AE4D6B"/>
    <w:rPr>
      <w:rFonts w:cs="Times New Roman"/>
    </w:rPr>
  </w:style>
  <w:style w:type="paragraph" w:styleId="CommentSubject">
    <w:name w:val="annotation subject"/>
    <w:basedOn w:val="CommentText"/>
    <w:next w:val="CommentText"/>
    <w:link w:val="CommentSubjectChar"/>
    <w:uiPriority w:val="99"/>
    <w:semiHidden/>
    <w:rsid w:val="00AE4D6B"/>
    <w:rPr>
      <w:b/>
      <w:bCs/>
    </w:rPr>
  </w:style>
  <w:style w:type="character" w:customStyle="1" w:styleId="CommentSubjectChar">
    <w:name w:val="Comment Subject Char"/>
    <w:basedOn w:val="CommentTextChar"/>
    <w:link w:val="CommentSubject"/>
    <w:uiPriority w:val="99"/>
    <w:semiHidden/>
    <w:locked/>
    <w:rsid w:val="00AE4D6B"/>
    <w:rPr>
      <w:rFonts w:cs="Times New Roman"/>
      <w:b/>
      <w:bCs/>
    </w:rPr>
  </w:style>
  <w:style w:type="paragraph" w:styleId="BalloonText">
    <w:name w:val="Balloon Text"/>
    <w:basedOn w:val="Normal"/>
    <w:link w:val="BalloonTextChar"/>
    <w:uiPriority w:val="99"/>
    <w:semiHidden/>
    <w:rsid w:val="00AE4D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4D6B"/>
    <w:rPr>
      <w:rFonts w:ascii="Tahoma" w:hAnsi="Tahoma" w:cs="Tahoma"/>
      <w:sz w:val="16"/>
      <w:szCs w:val="16"/>
    </w:rPr>
  </w:style>
  <w:style w:type="paragraph" w:styleId="ListParagraph">
    <w:name w:val="List Paragraph"/>
    <w:basedOn w:val="Normal"/>
    <w:uiPriority w:val="34"/>
    <w:qFormat/>
    <w:rsid w:val="00CB28B0"/>
    <w:pPr>
      <w:widowControl/>
      <w:adjustRightInd/>
      <w:ind w:left="720"/>
      <w:contextualSpacing/>
    </w:pPr>
  </w:style>
  <w:style w:type="paragraph" w:styleId="NoSpacing">
    <w:name w:val="No Spacing"/>
    <w:uiPriority w:val="99"/>
    <w:qFormat/>
    <w:rsid w:val="00CB28B0"/>
    <w:rPr>
      <w:rFonts w:ascii="Calibri" w:hAnsi="Calibri"/>
      <w:sz w:val="22"/>
      <w:szCs w:val="22"/>
    </w:rPr>
  </w:style>
  <w:style w:type="paragraph" w:customStyle="1" w:styleId="Default">
    <w:name w:val="Default"/>
    <w:rsid w:val="00CB28B0"/>
    <w:pPr>
      <w:autoSpaceDE w:val="0"/>
      <w:autoSpaceDN w:val="0"/>
      <w:adjustRightInd w:val="0"/>
    </w:pPr>
    <w:rPr>
      <w:color w:val="000000"/>
      <w:sz w:val="24"/>
      <w:szCs w:val="24"/>
    </w:rPr>
  </w:style>
  <w:style w:type="table" w:styleId="TableGrid">
    <w:name w:val="Table Grid"/>
    <w:basedOn w:val="TableNormal"/>
    <w:uiPriority w:val="59"/>
    <w:rsid w:val="006E5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A57"/>
    <w:rPr>
      <w:color w:val="0000FF"/>
      <w:u w:val="single"/>
    </w:rPr>
  </w:style>
  <w:style w:type="table" w:customStyle="1" w:styleId="LightList1">
    <w:name w:val="Light List1"/>
    <w:basedOn w:val="TableNormal"/>
    <w:uiPriority w:val="61"/>
    <w:rsid w:val="0058596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756C75"/>
    <w:rPr>
      <w:color w:val="800080" w:themeColor="followedHyperlink"/>
      <w:u w:val="single"/>
    </w:rPr>
  </w:style>
  <w:style w:type="paragraph" w:styleId="NormalWeb">
    <w:name w:val="Normal (Web)"/>
    <w:basedOn w:val="Normal"/>
    <w:uiPriority w:val="99"/>
    <w:semiHidden/>
    <w:unhideWhenUsed/>
    <w:rsid w:val="005D3281"/>
    <w:pPr>
      <w:widowControl/>
      <w:autoSpaceDE/>
      <w:autoSpaceDN/>
      <w:adjustRightInd/>
      <w:spacing w:before="100" w:beforeAutospacing="1" w:after="100" w:afterAutospacing="1"/>
    </w:pPr>
    <w:rPr>
      <w:rFonts w:eastAsiaTheme="minorEastAsia"/>
      <w:sz w:val="24"/>
      <w:szCs w:val="24"/>
    </w:rPr>
  </w:style>
  <w:style w:type="character" w:styleId="UnresolvedMention">
    <w:name w:val="Unresolved Mention"/>
    <w:basedOn w:val="DefaultParagraphFont"/>
    <w:uiPriority w:val="99"/>
    <w:semiHidden/>
    <w:unhideWhenUsed/>
    <w:rsid w:val="00747F6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299">
      <w:bodyDiv w:val="1"/>
      <w:marLeft w:val="0"/>
      <w:marRight w:val="0"/>
      <w:marTop w:val="0"/>
      <w:marBottom w:val="0"/>
      <w:divBdr>
        <w:top w:val="none" w:sz="0" w:space="0" w:color="auto"/>
        <w:left w:val="none" w:sz="0" w:space="0" w:color="auto"/>
        <w:bottom w:val="none" w:sz="0" w:space="0" w:color="auto"/>
        <w:right w:val="none" w:sz="0" w:space="0" w:color="auto"/>
      </w:divBdr>
      <w:divsChild>
        <w:div w:id="1867869245">
          <w:marLeft w:val="0"/>
          <w:marRight w:val="0"/>
          <w:marTop w:val="0"/>
          <w:marBottom w:val="0"/>
          <w:divBdr>
            <w:top w:val="none" w:sz="0" w:space="0" w:color="auto"/>
            <w:left w:val="none" w:sz="0" w:space="0" w:color="auto"/>
            <w:bottom w:val="none" w:sz="0" w:space="0" w:color="auto"/>
            <w:right w:val="none" w:sz="0" w:space="0" w:color="auto"/>
          </w:divBdr>
        </w:div>
      </w:divsChild>
    </w:div>
    <w:div w:id="390231636">
      <w:bodyDiv w:val="1"/>
      <w:marLeft w:val="0"/>
      <w:marRight w:val="0"/>
      <w:marTop w:val="0"/>
      <w:marBottom w:val="0"/>
      <w:divBdr>
        <w:top w:val="none" w:sz="0" w:space="0" w:color="auto"/>
        <w:left w:val="none" w:sz="0" w:space="0" w:color="auto"/>
        <w:bottom w:val="none" w:sz="0" w:space="0" w:color="auto"/>
        <w:right w:val="none" w:sz="0" w:space="0" w:color="auto"/>
      </w:divBdr>
    </w:div>
    <w:div w:id="691536522">
      <w:bodyDiv w:val="1"/>
      <w:marLeft w:val="0"/>
      <w:marRight w:val="0"/>
      <w:marTop w:val="0"/>
      <w:marBottom w:val="0"/>
      <w:divBdr>
        <w:top w:val="none" w:sz="0" w:space="0" w:color="auto"/>
        <w:left w:val="none" w:sz="0" w:space="0" w:color="auto"/>
        <w:bottom w:val="none" w:sz="0" w:space="0" w:color="auto"/>
        <w:right w:val="none" w:sz="0" w:space="0" w:color="auto"/>
      </w:divBdr>
    </w:div>
    <w:div w:id="1610628009">
      <w:bodyDiv w:val="1"/>
      <w:marLeft w:val="0"/>
      <w:marRight w:val="0"/>
      <w:marTop w:val="0"/>
      <w:marBottom w:val="0"/>
      <w:divBdr>
        <w:top w:val="none" w:sz="0" w:space="0" w:color="auto"/>
        <w:left w:val="none" w:sz="0" w:space="0" w:color="auto"/>
        <w:bottom w:val="none" w:sz="0" w:space="0" w:color="auto"/>
        <w:right w:val="none" w:sz="0" w:space="0" w:color="auto"/>
      </w:divBdr>
      <w:divsChild>
        <w:div w:id="960772009">
          <w:marLeft w:val="1138"/>
          <w:marRight w:val="0"/>
          <w:marTop w:val="106"/>
          <w:marBottom w:val="0"/>
          <w:divBdr>
            <w:top w:val="none" w:sz="0" w:space="0" w:color="auto"/>
            <w:left w:val="none" w:sz="0" w:space="0" w:color="auto"/>
            <w:bottom w:val="none" w:sz="0" w:space="0" w:color="auto"/>
            <w:right w:val="none" w:sz="0" w:space="0" w:color="auto"/>
          </w:divBdr>
        </w:div>
        <w:div w:id="945694887">
          <w:marLeft w:val="1138"/>
          <w:marRight w:val="0"/>
          <w:marTop w:val="106"/>
          <w:marBottom w:val="0"/>
          <w:divBdr>
            <w:top w:val="none" w:sz="0" w:space="0" w:color="auto"/>
            <w:left w:val="none" w:sz="0" w:space="0" w:color="auto"/>
            <w:bottom w:val="none" w:sz="0" w:space="0" w:color="auto"/>
            <w:right w:val="none" w:sz="0" w:space="0" w:color="auto"/>
          </w:divBdr>
        </w:div>
        <w:div w:id="1171025241">
          <w:marLeft w:val="1138"/>
          <w:marRight w:val="0"/>
          <w:marTop w:val="106"/>
          <w:marBottom w:val="0"/>
          <w:divBdr>
            <w:top w:val="none" w:sz="0" w:space="0" w:color="auto"/>
            <w:left w:val="none" w:sz="0" w:space="0" w:color="auto"/>
            <w:bottom w:val="none" w:sz="0" w:space="0" w:color="auto"/>
            <w:right w:val="none" w:sz="0" w:space="0" w:color="auto"/>
          </w:divBdr>
        </w:div>
        <w:div w:id="2041127028">
          <w:marLeft w:val="1138"/>
          <w:marRight w:val="0"/>
          <w:marTop w:val="106"/>
          <w:marBottom w:val="0"/>
          <w:divBdr>
            <w:top w:val="none" w:sz="0" w:space="0" w:color="auto"/>
            <w:left w:val="none" w:sz="0" w:space="0" w:color="auto"/>
            <w:bottom w:val="none" w:sz="0" w:space="0" w:color="auto"/>
            <w:right w:val="none" w:sz="0" w:space="0" w:color="auto"/>
          </w:divBdr>
        </w:div>
        <w:div w:id="545063792">
          <w:marLeft w:val="1138"/>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image" Target="media/image1.emf"/><Relationship Id="rId39" Type="http://schemas.openxmlformats.org/officeDocument/2006/relationships/hyperlink" Target="http://www.oscn.net/applications/oscn/DeliverDocument.asp?CiteID=87876" TargetMode="External"/><Relationship Id="rId21" Type="http://schemas.openxmlformats.org/officeDocument/2006/relationships/header" Target="header8.xml"/><Relationship Id="rId34" Type="http://schemas.openxmlformats.org/officeDocument/2006/relationships/hyperlink" Target="http://www.oscn.net/applications/oscn/DeliverDocument.asp?CiteID=88278" TargetMode="External"/><Relationship Id="rId42" Type="http://schemas.openxmlformats.org/officeDocument/2006/relationships/header" Target="header13.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www.aicpa.org/Research/Standards/AuditAttest/DownloadableDocuments/AU-C-0070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oscn.net/applications/oscn/DeliverDocument.asp?CiteID=67388" TargetMode="External"/><Relationship Id="rId37" Type="http://schemas.openxmlformats.org/officeDocument/2006/relationships/hyperlink" Target="http://gasb.org/jsp/GASB/Document_C/DocumentPage?cid=1176166283745&amp;acceptedDisclaimer=true" TargetMode="External"/><Relationship Id="rId40" Type="http://schemas.openxmlformats.org/officeDocument/2006/relationships/header" Target="header11.xml"/><Relationship Id="rId45"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yperlink" Target="http://www.aicpa.org/Research/Standards/AuditAttest/DownloadableDocuments/AU-C-00210.pdf" TargetMode="External"/><Relationship Id="rId36" Type="http://schemas.openxmlformats.org/officeDocument/2006/relationships/hyperlink" Target="http://www.aicpa.org/Research/Standards/AuditAttest/DownloadableDocuments/AU-C-00700.pdf"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www.oscn.net/applications/oscn/DeliverDocument.asp?CiteID=67388" TargetMode="External"/><Relationship Id="rId44"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www.aicpa.org/Research/Standards/AuditAttest/DownloadableDocuments/AU-C-00210.pdf"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oleObject" Target="embeddings/Microsoft_Excel_97-2003_Worksheet.xls"/><Relationship Id="rId30" Type="http://schemas.openxmlformats.org/officeDocument/2006/relationships/hyperlink" Target="http://www.oscn.net/applications/oscn/DeliverDocument.asp?CiteID=67388" TargetMode="External"/><Relationship Id="rId35" Type="http://schemas.openxmlformats.org/officeDocument/2006/relationships/hyperlink" Target="http://www.oscn.net/applications/oscn/DeliverDocument.asp?CiteID=92978" TargetMode="External"/><Relationship Id="rId43" Type="http://schemas.openxmlformats.org/officeDocument/2006/relationships/hyperlink" Target="mailto:rward@sai.ok.gov" TargetMode="External"/><Relationship Id="rId8" Type="http://schemas.openxmlformats.org/officeDocument/2006/relationships/hyperlink" Target="http://www.oscn.net/applications/oscn/DeliverDocument.asp?CiteID=67388"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yperlink" Target="http://www.oscn.net/applications/oscn/DeliverDocument.asp?CiteID=88276" TargetMode="External"/><Relationship Id="rId38" Type="http://schemas.openxmlformats.org/officeDocument/2006/relationships/hyperlink" Target="http://www.oscn.net/applications/oscn/DeliverDocument.asp?CiteID=439609" TargetMode="Externa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2F949-0E50-4BD9-A997-98A26D4A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7664</Words>
  <Characters>43686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GRANT  COUNTY, OKLAHOMA</vt:lpstr>
    </vt:vector>
  </TitlesOfParts>
  <Company>State Auditor &amp; Inspector</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OKLAHOMA</dc:title>
  <dc:creator>User</dc:creator>
  <cp:lastModifiedBy>Cheryl Wilson</cp:lastModifiedBy>
  <cp:revision>4</cp:revision>
  <cp:lastPrinted>2017-03-20T21:28:00Z</cp:lastPrinted>
  <dcterms:created xsi:type="dcterms:W3CDTF">2023-09-21T19:54:00Z</dcterms:created>
  <dcterms:modified xsi:type="dcterms:W3CDTF">2023-09-21T20:06:00Z</dcterms:modified>
</cp:coreProperties>
</file>